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9"/>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29"/>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29"/>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2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7.5pt;height:107.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Cs/>
          <w:color w:val="000000"/>
          <w:sz w:val="21"/>
          <w:szCs w:val="21"/>
          <w:highlight w:val="none"/>
        </w:rPr>
      </w:r>
      <w:r/>
    </w:p>
    <w:p>
      <w:pPr>
        <w:pStyle w:val="92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29"/>
        <w:ind w:left="2995" w:hanging="15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苏州市吴中区木渎镇人民政府（苏州市吴中区木渎镇综合行政执法和安全生产监督管理办公室）</w:t>
      </w:r>
      <w:r>
        <w:rPr>
          <w:rFonts w:hint="eastAsia" w:ascii="宋体" w:hAnsi="宋体" w:eastAsia="宋体" w:cs="宋体"/>
          <w:bCs/>
          <w:color w:val="000000"/>
          <w:sz w:val="30"/>
          <w:szCs w:val="30"/>
          <w:highlight w:val="none"/>
          <w:lang w:eastAsia="zh-CN"/>
        </w:rPr>
      </w:r>
      <w:r/>
    </w:p>
    <w:p>
      <w:pPr>
        <w:pStyle w:val="929"/>
        <w:ind w:firstLine="15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val="en-US" w:eastAsia="zh-CN"/>
        </w:rPr>
        <w:t xml:space="preserve">项目</w:t>
      </w:r>
      <w:r>
        <w:rPr>
          <w:rFonts w:hint="eastAsia" w:ascii="宋体" w:hAnsi="宋体" w:eastAsia="宋体" w:cs="宋体"/>
          <w:bCs/>
          <w:color w:val="000000"/>
          <w:sz w:val="30"/>
          <w:szCs w:val="30"/>
          <w:highlight w:val="none"/>
        </w:rPr>
        <w:t xml:space="preserve">编号：</w:t>
      </w:r>
      <w:r>
        <w:rPr>
          <w:rFonts w:hint="eastAsia" w:ascii="宋体" w:hAnsi="宋体" w:eastAsia="宋体" w:cs="宋体"/>
          <w:bCs/>
          <w:color w:val="000000"/>
          <w:sz w:val="30"/>
          <w:szCs w:val="30"/>
          <w:highlight w:val="none"/>
          <w:lang w:eastAsia="zh-CN"/>
        </w:rPr>
        <w:t xml:space="preserve">JSZC-320506-SZZJ-C2025-0056</w:t>
      </w:r>
      <w:r>
        <w:rPr>
          <w:rFonts w:hint="eastAsia" w:ascii="宋体" w:hAnsi="宋体" w:eastAsia="宋体" w:cs="宋体"/>
          <w:bCs/>
          <w:color w:val="000000"/>
          <w:sz w:val="30"/>
          <w:szCs w:val="30"/>
          <w:highlight w:val="none"/>
          <w:lang w:eastAsia="zh-CN"/>
        </w:rPr>
      </w:r>
      <w:r/>
    </w:p>
    <w:p>
      <w:pPr>
        <w:pStyle w:val="929"/>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w:t>
      </w:r>
      <w:r>
        <w:rPr>
          <w:rFonts w:hint="eastAsia" w:ascii="宋体" w:hAnsi="宋体" w:eastAsia="宋体" w:cs="宋体"/>
          <w:bCs/>
          <w:color w:val="000000"/>
          <w:sz w:val="30"/>
          <w:szCs w:val="30"/>
          <w:highlight w:val="none"/>
          <w:lang w:val="en-US" w:eastAsia="zh-CN"/>
        </w:rPr>
        <w:t xml:space="preserve">名称</w:t>
      </w:r>
      <w:r>
        <w:rPr>
          <w:rFonts w:hint="eastAsia" w:ascii="宋体" w:hAnsi="宋体" w:eastAsia="宋体" w:cs="宋体"/>
          <w:bCs/>
          <w:color w:val="000000"/>
          <w:sz w:val="30"/>
          <w:szCs w:val="30"/>
          <w:highlight w:val="none"/>
        </w:rPr>
        <w:t xml:space="preserve">：</w:t>
      </w:r>
      <w:r>
        <w:rPr>
          <w:rFonts w:hint="eastAsia" w:ascii="宋体" w:hAnsi="宋体" w:eastAsia="宋体" w:cs="宋体"/>
          <w:bCs/>
          <w:color w:val="000000"/>
          <w:sz w:val="30"/>
          <w:szCs w:val="30"/>
          <w:highlight w:val="none"/>
          <w:lang w:eastAsia="zh-CN"/>
        </w:rPr>
        <w:t xml:space="preserve">2026年木渎镇违法建设及户外广告拆除服务</w:t>
      </w:r>
      <w:r>
        <w:rPr>
          <w:rFonts w:hint="eastAsia" w:ascii="宋体" w:hAnsi="宋体" w:eastAsia="宋体" w:cs="宋体"/>
          <w:bCs/>
          <w:color w:val="000000"/>
          <w:sz w:val="30"/>
          <w:szCs w:val="30"/>
          <w:highlight w:val="none"/>
          <w:lang w:eastAsia="zh-CN"/>
        </w:rPr>
      </w:r>
      <w:r/>
    </w:p>
    <w:p>
      <w:pPr>
        <w:pStyle w:val="929"/>
        <w:ind w:firstLine="15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w:t>
      </w:r>
      <w:r>
        <w:rPr>
          <w:rFonts w:hint="eastAsia" w:ascii="宋体" w:hAnsi="宋体" w:eastAsia="宋体" w:cs="宋体"/>
          <w:bCs/>
          <w:color w:val="000000"/>
          <w:sz w:val="30"/>
          <w:szCs w:val="30"/>
          <w:highlight w:val="none"/>
          <w:lang w:val="en-US" w:eastAsia="zh-CN"/>
        </w:rPr>
        <w:t xml:space="preserve">服务</w:t>
      </w:r>
      <w:r>
        <w:rPr>
          <w:rFonts w:hint="eastAsia" w:ascii="宋体" w:hAnsi="宋体" w:eastAsia="宋体" w:cs="宋体"/>
          <w:bCs/>
          <w:color w:val="000000"/>
          <w:sz w:val="30"/>
          <w:szCs w:val="30"/>
          <w:highlight w:val="none"/>
        </w:rPr>
        <w:t xml:space="preserve">类</w:t>
      </w:r>
      <w:r>
        <w:rPr>
          <w:rFonts w:hint="eastAsia" w:ascii="宋体" w:hAnsi="宋体" w:eastAsia="宋体" w:cs="宋体"/>
          <w:bCs/>
          <w:color w:val="000000"/>
          <w:sz w:val="30"/>
          <w:szCs w:val="30"/>
          <w:highlight w:val="none"/>
        </w:rPr>
      </w:r>
      <w:r/>
    </w:p>
    <w:p>
      <w:pPr>
        <w:pStyle w:val="929"/>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9"/>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9"/>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9"/>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53"/>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2025</w:t>
      </w:r>
      <w:r>
        <w:rPr>
          <w:rFonts w:hint="eastAsia" w:ascii="宋体" w:hAnsi="宋体" w:eastAsia="宋体" w:cs="宋体"/>
          <w:bCs/>
          <w:color w:val="000000"/>
          <w:sz w:val="30"/>
          <w:szCs w:val="30"/>
          <w:highlight w:val="none"/>
        </w:rPr>
        <w:t xml:space="preserve">年</w:t>
      </w:r>
      <w:r>
        <w:rPr>
          <w:rFonts w:hint="eastAsia" w:ascii="宋体" w:hAnsi="宋体" w:eastAsia="宋体" w:cs="宋体"/>
          <w:bCs/>
          <w:color w:val="000000"/>
          <w:sz w:val="30"/>
          <w:szCs w:val="30"/>
          <w:highlight w:val="none"/>
          <w:lang w:val="en-US" w:eastAsia="zh-CN"/>
        </w:rPr>
        <w:t xml:space="preserve">1</w:t>
      </w:r>
      <w:r>
        <w:rPr>
          <w:rFonts w:hint="eastAsia" w:ascii="宋体" w:hAnsi="宋体" w:eastAsia="宋体" w:cs="宋体"/>
          <w:bCs/>
          <w:color w:val="000000"/>
          <w:sz w:val="30"/>
          <w:szCs w:val="30"/>
          <w:highlight w:val="none"/>
          <w:lang w:val="en-US" w:eastAsia="zh-CN"/>
        </w:rPr>
        <w:t xml:space="preserve">2</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53"/>
        <w:ind w:firstLine="0"/>
        <w:jc w:val="center"/>
        <w:spacing w:line="360" w:lineRule="auto"/>
        <w:rPr>
          <w:rFonts w:hint="eastAsia" w:ascii="宋体" w:hAnsi="宋体" w:eastAsia="宋体" w:cs="宋体"/>
          <w:b/>
          <w:bCs w:val="0"/>
          <w:color w:val="000000"/>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bCs w:val="0"/>
          <w:color w:val="000000"/>
          <w:sz w:val="32"/>
          <w:szCs w:val="32"/>
          <w:highlight w:val="none"/>
        </w:rPr>
      </w:r>
      <w:r/>
    </w:p>
    <w:p>
      <w:pPr>
        <w:pStyle w:val="953"/>
        <w:ind w:firstLine="0"/>
        <w:jc w:val="center"/>
        <w:spacing w:line="360" w:lineRule="auto"/>
        <w:rPr>
          <w:rFonts w:hint="eastAsia" w:ascii="宋体" w:hAnsi="宋体" w:eastAsia="宋体" w:cs="宋体"/>
          <w:b/>
          <w:bCs w:val="0"/>
          <w:color w:val="000000"/>
          <w:sz w:val="52"/>
          <w:szCs w:val="52"/>
          <w:highlight w:val="none"/>
        </w:rPr>
      </w:pPr>
      <w:r>
        <w:rPr>
          <w:rFonts w:hint="eastAsia" w:ascii="宋体" w:hAnsi="宋体" w:eastAsia="宋体" w:cs="宋体"/>
          <w:b/>
          <w:bCs w:val="0"/>
          <w:color w:val="000000"/>
          <w:sz w:val="52"/>
          <w:szCs w:val="52"/>
          <w:highlight w:val="none"/>
        </w:rPr>
        <w:t xml:space="preserve">目  录</w:t>
      </w:r>
      <w:r>
        <w:rPr>
          <w:rFonts w:hint="eastAsia" w:ascii="宋体" w:hAnsi="宋体" w:eastAsia="宋体" w:cs="宋体"/>
          <w:b/>
          <w:bCs w:val="0"/>
          <w:color w:val="000000"/>
          <w:sz w:val="52"/>
          <w:szCs w:val="52"/>
          <w:highlight w:val="none"/>
        </w:rPr>
      </w:r>
      <w:r/>
    </w:p>
    <w:p>
      <w:pPr>
        <w:pStyle w:val="953"/>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85"/>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w:t>
      </w:r>
      <w:r>
        <w:rPr>
          <w:rFonts w:hint="eastAsia" w:ascii="宋体" w:hAnsi="宋体" w:eastAsia="宋体" w:cs="宋体"/>
          <w:bCs/>
          <w:color w:val="000000"/>
          <w:sz w:val="32"/>
          <w:szCs w:val="32"/>
          <w:highlight w:val="none"/>
          <w:lang w:val="en-US" w:eastAsia="zh-CN"/>
        </w:rPr>
        <w:t xml:space="preserve">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5"/>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w:t>
      </w:r>
      <w:r>
        <w:rPr>
          <w:rFonts w:hint="eastAsia" w:ascii="宋体" w:hAnsi="宋体" w:eastAsia="宋体" w:cs="宋体"/>
          <w:bCs/>
          <w:color w:val="000000"/>
          <w:sz w:val="32"/>
          <w:szCs w:val="32"/>
          <w:highlight w:val="none"/>
        </w:rPr>
        <w:t xml:space="preserve">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5"/>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5"/>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5"/>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5"/>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w:t>
      </w:r>
      <w:r>
        <w:rPr>
          <w:rFonts w:hint="eastAsia" w:ascii="宋体" w:hAnsi="宋体" w:eastAsia="宋体" w:cs="宋体"/>
          <w:bCs/>
          <w:color w:val="000000"/>
          <w:sz w:val="32"/>
          <w:szCs w:val="32"/>
          <w:highlight w:val="none"/>
          <w:lang w:val="en-US" w:eastAsia="zh-CN"/>
        </w:rPr>
        <w:t xml:space="preserve">方</w:t>
      </w:r>
      <w:r>
        <w:rPr>
          <w:rFonts w:hint="eastAsia" w:ascii="宋体" w:hAnsi="宋体" w:eastAsia="宋体" w:cs="宋体"/>
          <w:bCs/>
          <w:color w:val="000000"/>
          <w:sz w:val="32"/>
          <w:szCs w:val="32"/>
          <w:highlight w:val="none"/>
        </w:rPr>
        <w:t xml:space="preserve">法及</w:t>
      </w:r>
      <w:r>
        <w:rPr>
          <w:rFonts w:hint="eastAsia" w:ascii="宋体" w:hAnsi="宋体" w:eastAsia="宋体" w:cs="宋体"/>
          <w:bCs/>
          <w:color w:val="000000"/>
          <w:sz w:val="32"/>
          <w:szCs w:val="32"/>
          <w:highlight w:val="none"/>
          <w:lang w:val="en-US" w:eastAsia="zh-CN"/>
        </w:rPr>
        <w:t xml:space="preserve">评审</w:t>
      </w:r>
      <w:r>
        <w:rPr>
          <w:rFonts w:hint="eastAsia" w:ascii="宋体" w:hAnsi="宋体" w:eastAsia="宋体" w:cs="宋体"/>
          <w:bCs/>
          <w:color w:val="000000"/>
          <w:sz w:val="32"/>
          <w:szCs w:val="32"/>
          <w:highlight w:val="none"/>
        </w:rPr>
        <w:t xml:space="preserve">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9"/>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30"/>
        <w:jc w:val="center"/>
        <w:spacing w:line="360" w:lineRule="auto"/>
        <w:rPr>
          <w:rFonts w:hint="eastAsia" w:ascii="宋体" w:hAnsi="宋体" w:eastAsia="宋体" w:cs="宋体"/>
          <w:b w:val="0"/>
          <w:bCs/>
          <w:color w:val="000000"/>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29"/>
        <w:ind w:firstLine="482"/>
        <w:jc w:val="center"/>
        <w:spacing w:line="360" w:lineRule="auto"/>
        <w:rPr>
          <w:rFonts w:hint="eastAsia" w:ascii="宋体" w:hAnsi="宋体" w:eastAsia="宋体" w:cs="宋体"/>
          <w:b/>
          <w:bCs w:val="0"/>
          <w:color w:val="000000"/>
          <w:sz w:val="24"/>
          <w:szCs w:val="24"/>
          <w:highlight w:val="none"/>
          <w:lang w:val="en-US" w:eastAsia="zh-CN"/>
        </w:rPr>
      </w:pPr>
      <w:r/>
      <w:bookmarkEnd w:id="1"/>
      <w:r>
        <w:rPr>
          <w:rFonts w:hint="eastAsia" w:ascii="宋体" w:hAnsi="宋体" w:eastAsia="宋体" w:cs="宋体"/>
          <w:b/>
          <w:bCs w:val="0"/>
          <w:color w:val="000000"/>
          <w:sz w:val="24"/>
          <w:szCs w:val="24"/>
          <w:highlight w:val="none"/>
        </w:rPr>
        <w:t xml:space="preserve">第一章 </w:t>
      </w:r>
      <w:r>
        <w:rPr>
          <w:rFonts w:hint="eastAsia" w:ascii="宋体" w:hAnsi="宋体" w:eastAsia="宋体" w:cs="宋体"/>
          <w:b/>
          <w:bCs w:val="0"/>
          <w:color w:val="000000"/>
          <w:sz w:val="24"/>
          <w:szCs w:val="24"/>
          <w:highlight w:val="none"/>
          <w:lang w:val="en-US" w:eastAsia="zh-CN"/>
        </w:rPr>
        <w:t xml:space="preserve">竞争性磋商邀请函</w:t>
      </w:r>
      <w:r>
        <w:rPr>
          <w:rFonts w:hint="eastAsia" w:ascii="宋体" w:hAnsi="宋体" w:eastAsia="宋体" w:cs="宋体"/>
          <w:b/>
          <w:bCs w:val="0"/>
          <w:color w:val="000000"/>
          <w:sz w:val="24"/>
          <w:szCs w:val="24"/>
          <w:highlight w:val="none"/>
          <w:lang w:val="en-US" w:eastAsia="zh-CN"/>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苏州市吴中区木渎镇人民政府（苏州市吴中区木渎镇综合行政执法和安全生产监督管理办公室）</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2026年木渎镇违法建设及户外广告拆除服务项目</w:t>
      </w:r>
      <w:r>
        <w:rPr>
          <w:rFonts w:hint="eastAsia" w:ascii="宋体" w:hAnsi="宋体" w:eastAsia="宋体" w:cs="宋体"/>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lang w:val="en-US" w:eastAsia="zh-CN"/>
        </w:rPr>
        <w:t xml:space="preserve">JSZC-320506-SZZJ-C2025-0056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2026年木渎镇违法建设及户外广告拆除服务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8"/>
          <w:highlight w:val="none"/>
          <w:lang w:val="en-US" w:eastAsia="zh-CN"/>
        </w:rPr>
        <w:t xml:space="preserve">130</w:t>
      </w:r>
      <w:r>
        <w:rPr>
          <w:rFonts w:ascii="宋体" w:hAnsi="宋体" w:eastAsia="宋体" w:cs="宋体"/>
          <w:color w:val="000000"/>
          <w:sz w:val="24"/>
          <w:szCs w:val="28"/>
          <w:highlight w:val="none"/>
        </w:rPr>
        <w:t xml:space="preserve">0000</w:t>
      </w:r>
      <w:r>
        <w:rPr>
          <w:rFonts w:hint="eastAsia" w:ascii="宋体" w:hAnsi="宋体" w:eastAsia="宋体" w:cs="宋体"/>
          <w:color w:val="000000"/>
          <w:sz w:val="24"/>
          <w:szCs w:val="28"/>
          <w:highlight w:val="none"/>
        </w:rPr>
        <w:t xml:space="preserve">.00</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8"/>
          <w:highlight w:val="none"/>
          <w:lang w:val="en-US" w:eastAsia="zh-CN"/>
        </w:rPr>
        <w:t xml:space="preserve">130</w:t>
      </w:r>
      <w:r>
        <w:rPr>
          <w:rFonts w:ascii="宋体" w:hAnsi="宋体" w:eastAsia="宋体" w:cs="宋体"/>
          <w:color w:val="000000"/>
          <w:sz w:val="24"/>
          <w:szCs w:val="28"/>
          <w:highlight w:val="none"/>
        </w:rPr>
        <w:t xml:space="preserve">0000</w:t>
      </w:r>
      <w:r>
        <w:rPr>
          <w:rFonts w:hint="eastAsia" w:ascii="宋体" w:hAnsi="宋体" w:eastAsia="宋体" w:cs="宋体"/>
          <w:color w:val="000000"/>
          <w:sz w:val="24"/>
          <w:szCs w:val="28"/>
          <w:highlight w:val="none"/>
        </w:rPr>
        <w:t xml:space="preserve">.00</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r>
      <w:r/>
    </w:p>
    <w:p>
      <w:pPr>
        <w:pStyle w:val="929"/>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2026年木渎镇违法建设及户外广告拆除服务。</w:t>
      </w:r>
      <w:r>
        <w:rPr>
          <w:rFonts w:hint="eastAsia" w:ascii="宋体" w:hAnsi="宋体" w:eastAsia="宋体" w:cs="宋体"/>
          <w:color w:val="000000"/>
          <w:sz w:val="24"/>
          <w:szCs w:val="24"/>
          <w:highlight w:val="none"/>
          <w:lang w:eastAsia="zh-CN"/>
        </w:rPr>
      </w:r>
      <w:r/>
    </w:p>
    <w:p>
      <w:pPr>
        <w:pStyle w:val="929"/>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color w:val="000000"/>
          <w:sz w:val="24"/>
          <w:szCs w:val="24"/>
          <w:highlight w:val="none"/>
        </w:rPr>
      </w:r>
      <w:r/>
    </w:p>
    <w:p>
      <w:pPr>
        <w:pStyle w:val="929"/>
        <w:ind w:firstLine="480"/>
        <w:spacing w:line="360" w:lineRule="auto"/>
        <w:rPr>
          <w:rFonts w:ascii="宋体" w:hAnsi="宋体" w:eastAsia="宋体"/>
          <w:bCs/>
          <w:color w:val="000000"/>
          <w:sz w:val="24"/>
          <w:szCs w:val="24"/>
          <w:highlight w:val="none"/>
          <w:lang w:val="en-US" w:eastAsia="zh-CN"/>
        </w:rPr>
      </w:pPr>
      <w:r>
        <w:rPr>
          <w:rFonts w:hint="eastAsia" w:ascii="宋体" w:hAnsi="宋体" w:eastAsia="宋体"/>
          <w:color w:val="000000"/>
          <w:sz w:val="24"/>
          <w:szCs w:val="24"/>
          <w:highlight w:val="none"/>
        </w:rPr>
        <w:t xml:space="preserve">服务为整个木渎镇范围内的各种违法建设与违法广告的拆除。根据平时的统计和勘察情况，木渎区域内存在各种零星的有安全隐患的违法建设与违法广告。针对本片区内的违法建设和违法广告，需要及时进行拆除整治，作业人员需在1小时内到位</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具体详见采购文件第四章。</w:t>
      </w:r>
      <w:r>
        <w:rPr>
          <w:rFonts w:ascii="宋体" w:hAnsi="宋体" w:eastAsia="宋体"/>
          <w:bCs/>
          <w:color w:val="000000"/>
          <w:sz w:val="24"/>
          <w:szCs w:val="24"/>
          <w:highlight w:val="none"/>
          <w:lang w:val="en-US" w:eastAsia="zh-CN"/>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olor w:val="000000"/>
          <w:sz w:val="24"/>
          <w:szCs w:val="24"/>
          <w:highlight w:val="none"/>
        </w:rPr>
        <w:t xml:space="preserve">一年（具体时间以采购单位通知为准）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lang w:val="en-US" w:eastAsia="zh-CN"/>
        </w:rPr>
        <w:t xml:space="preserve">根据《政府采购促进中小企业发展管理办法》的相关规定，本项目专门面向中小企业，所属行业为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bCs/>
          <w:color w:val="000000"/>
          <w:sz w:val="24"/>
          <w:szCs w:val="24"/>
          <w:highlight w:val="none"/>
          <w:lang w:val="en-US" w:eastAsia="zh-CN"/>
        </w:rPr>
        <w:t xml:space="preserve">，供应商应为中小微企业、监狱企业、残疾人福利性单位。</w:t>
      </w:r>
      <w:r>
        <w:rPr>
          <w:rFonts w:hint="eastAsia" w:ascii="宋体" w:hAnsi="宋体" w:eastAsia="宋体" w:cs="宋体"/>
          <w:color w:val="000000"/>
          <w:sz w:val="24"/>
          <w:szCs w:val="24"/>
          <w:highlight w:val="none"/>
          <w:lang w:val="en-US" w:eastAsia="zh-CN"/>
        </w:rPr>
      </w:r>
      <w:r/>
    </w:p>
    <w:p>
      <w:pPr>
        <w:pStyle w:val="929"/>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“苏采云”系统自行下载采购文件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供应商通过“苏采云”政府采购交易系统（以下简称苏采云系统，网址：http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（2）依法获取采购文件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未依照采购公告要求获取采购文件的供应商，视为未参加该项政府采购活动，不具备对该政府采购项目提出质疑的法定权利。</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color w:val="000000"/>
          <w:szCs w:val="21"/>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（3）技术咨询服务电话：</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电子签章技术咨询服务电话：025-83633811、025-83633812、15380932027、15371015030；</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苏州市及区县“苏采云”系统</w:t>
      </w:r>
      <w:r>
        <w:rPr>
          <w:rFonts w:hint="eastAsia" w:ascii="宋体" w:hAnsi="宋体" w:eastAsia="宋体" w:cs="宋体"/>
          <w:color w:val="000000"/>
          <w:sz w:val="24"/>
          <w:szCs w:val="24"/>
          <w:highlight w:val="none"/>
        </w:rPr>
        <w:t xml:space="preserve">使用指导与咨询：联系电话：0512-69820854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18261002950；QQ：3048755361、1315179389、895706745</w:t>
      </w:r>
      <w:r>
        <w:rPr>
          <w:rFonts w:hint="eastAsia" w:ascii="宋体" w:hAnsi="宋体" w:eastAsia="宋体" w:cs="宋体"/>
          <w:color w:val="000000"/>
          <w:sz w:val="24"/>
          <w:szCs w:val="24"/>
          <w:highlight w:val="none"/>
        </w:rPr>
        <w:t xml:space="preserve">；智能客服：登录苏采云系统后，联系系统右下方智能客服图标进行咨询。 </w:t>
      </w:r>
      <w:r>
        <w:rPr>
          <w:rFonts w:hint="eastAsia" w:ascii="宋体" w:hAnsi="宋体" w:eastAsia="宋体" w:cs="宋体"/>
          <w:color w:val="000000"/>
          <w:sz w:val="24"/>
          <w:szCs w:val="24"/>
          <w:highlight w:val="none"/>
        </w:rPr>
      </w:r>
      <w:r/>
    </w:p>
    <w:p>
      <w:pPr>
        <w:pStyle w:val="929"/>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929"/>
        <w:ind w:firstLine="48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w:t>
      </w:r>
      <w:r>
        <w:rPr>
          <w:rFonts w:hint="eastAsia" w:ascii="宋体" w:hAnsi="宋体" w:eastAsia="宋体" w:cs="宋体"/>
          <w:b w:val="0"/>
          <w:bCs w:val="0"/>
          <w:color w:val="000000"/>
          <w:sz w:val="24"/>
          <w:szCs w:val="24"/>
          <w:highlight w:val="none"/>
        </w:rPr>
        <w:t xml:space="preserve">间：</w:t>
      </w:r>
      <w:r>
        <w:rPr>
          <w:rFonts w:hint="eastAsia" w:ascii="宋体" w:hAnsi="宋体" w:eastAsia="宋体" w:cs="宋体"/>
          <w:b/>
          <w:bCs/>
          <w:color w:val="000000"/>
          <w:sz w:val="24"/>
          <w:szCs w:val="24"/>
          <w:highlight w:val="none"/>
          <w:lang w:eastAsia="zh-CN"/>
        </w:rPr>
        <w:t xml:space="preserve">2025</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none"/>
          <w:lang w:val="en-US" w:eastAsia="zh-CN"/>
        </w:rPr>
        <w:t xml:space="preserve">12</w:t>
      </w:r>
      <w:r>
        <w:rPr>
          <w:rFonts w:hint="eastAsia" w:ascii="宋体" w:hAnsi="宋体" w:eastAsia="宋体" w:cs="宋体"/>
          <w:b/>
          <w:bCs/>
          <w:color w:val="000000"/>
          <w:sz w:val="24"/>
          <w:szCs w:val="24"/>
          <w:highlight w:val="none"/>
        </w:rPr>
        <w:t xml:space="preserve">月12</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5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"http://jszfcg.jsczt.cn/）\“开标大厅\”。"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5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3、方式：</w:t>
      </w:r>
      <w:r>
        <w:rPr>
          <w:rFonts w:hint="eastAsia" w:ascii="宋体" w:hAnsi="宋体" w:eastAsia="宋体" w:cs="宋体"/>
          <w:color w:val="000000"/>
          <w:sz w:val="24"/>
          <w:szCs w:val="24"/>
          <w:highlight w:val="none"/>
        </w:rPr>
        <w:t xml:space="preserve">响应文件网上递交，不需要现场参加采购活动。</w:t>
      </w:r>
      <w:r>
        <w:rPr>
          <w:rFonts w:hint="eastAsia" w:ascii="宋体" w:hAnsi="宋体" w:eastAsia="宋体" w:cs="宋体"/>
          <w:color w:val="000000"/>
          <w:sz w:val="24"/>
          <w:szCs w:val="24"/>
          <w:highlight w:val="none"/>
        </w:rPr>
      </w:r>
      <w:r/>
    </w:p>
    <w:p>
      <w:pPr>
        <w:pStyle w:val="953"/>
        <w:ind w:left="0"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五、开启</w:t>
      </w:r>
      <w:r>
        <w:rPr>
          <w:rFonts w:hint="eastAsia" w:ascii="宋体" w:hAnsi="宋体" w:eastAsia="宋体" w:cs="宋体"/>
          <w:b/>
          <w:color w:val="000000"/>
          <w:sz w:val="24"/>
          <w:szCs w:val="24"/>
          <w:highlight w:val="none"/>
          <w:lang w:val="en-US" w:eastAsia="zh-CN" w:bidi="ar-SA"/>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w:t>
      </w:r>
      <w:r>
        <w:rPr>
          <w:rFonts w:hint="eastAsia" w:ascii="宋体" w:hAnsi="宋体" w:eastAsia="宋体" w:cs="宋体"/>
          <w:b/>
          <w:bCs/>
          <w:color w:val="000000"/>
          <w:sz w:val="24"/>
          <w:szCs w:val="24"/>
          <w:highlight w:val="none"/>
          <w:lang w:eastAsia="zh-CN"/>
        </w:rPr>
        <w:t xml:space="preserve">2025</w:t>
      </w:r>
      <w:r>
        <w:rPr>
          <w:rFonts w:hint="eastAsia" w:ascii="宋体" w:hAnsi="宋体" w:eastAsia="宋体" w:cs="宋体"/>
          <w:b/>
          <w:bCs/>
          <w:color w:val="000000"/>
          <w:sz w:val="24"/>
          <w:szCs w:val="24"/>
          <w:highlight w:val="none"/>
        </w:rPr>
        <w:t xml:space="preserve">年12</w:t>
      </w:r>
      <w:r>
        <w:rPr>
          <w:rFonts w:hint="eastAsia" w:ascii="宋体" w:hAnsi="宋体" w:eastAsia="宋体" w:cs="宋体"/>
          <w:b/>
          <w:bCs/>
          <w:color w:val="000000"/>
          <w:sz w:val="24"/>
          <w:szCs w:val="24"/>
          <w:highlight w:val="none"/>
        </w:rPr>
        <w:t xml:space="preserve">月12</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5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本项目为不见面开标（开启）项目，</w:t>
      </w:r>
      <w:r>
        <w:rPr>
          <w:rFonts w:hint="eastAsia" w:ascii="宋体" w:hAnsi="宋体" w:eastAsia="宋体" w:cs="宋体"/>
          <w:b/>
          <w:bCs/>
          <w:color w:val="000000"/>
          <w:sz w:val="24"/>
          <w:szCs w:val="24"/>
          <w:highlight w:val="none"/>
          <w:lang w:val="en-US" w:eastAsia="zh-CN"/>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5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请供应商确保电脑、系统及其他设备（视频输入输出设备等）无误，且开启直至项目结束始终保持系统在线状态。</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开评标过程中如有问题采购代理机构工作人员会及时通过报名时在投标确认函模块留存的手机号与供应商联系。此号码在开标截止之前可修改，以</w:t>
      </w:r>
      <w:r>
        <w:rPr>
          <w:rFonts w:hint="eastAsia" w:ascii="宋体" w:hAnsi="宋体" w:eastAsia="宋体" w:cs="宋体"/>
          <w:color w:val="000000"/>
          <w:sz w:val="24"/>
          <w:szCs w:val="24"/>
          <w:highlight w:val="none"/>
          <w:lang w:val="en-US" w:eastAsia="zh-CN"/>
        </w:rPr>
        <w:t xml:space="preserve">响应文件中</w:t>
      </w:r>
      <w:r>
        <w:rPr>
          <w:rFonts w:hint="eastAsia" w:ascii="宋体" w:hAnsi="宋体" w:eastAsia="宋体" w:cs="宋体"/>
          <w:color w:val="000000"/>
          <w:sz w:val="24"/>
          <w:szCs w:val="24"/>
          <w:highlight w:val="none"/>
        </w:rPr>
        <w:t xml:space="preserve">投标函保存的最新号码为准，请供应商确保该手机号开评标当日通讯畅通，否则导致的对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不利的后果由供应商自行承担。</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eastAsia="zh-CN"/>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政府采购监督电话：</w:t>
      </w:r>
      <w:r>
        <w:rPr>
          <w:rFonts w:hint="eastAsia" w:ascii="宋体" w:hAnsi="宋体" w:eastAsia="宋体" w:cs="宋体"/>
          <w:color w:val="000000"/>
          <w:sz w:val="24"/>
          <w:szCs w:val="24"/>
          <w:highlight w:val="none"/>
          <w:lang w:eastAsia="zh-CN"/>
        </w:rPr>
        <w:t xml:space="preserve">0512-65283947</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苏州市吴中区木渎镇人民政府（苏州市吴中区木渎镇综合行政执法和安全生产监督管理办公室）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olor w:val="000000"/>
          <w:sz w:val="24"/>
          <w:szCs w:val="24"/>
          <w:highlight w:val="none"/>
        </w:rPr>
        <w:t xml:space="preserve">苏州市吴中区金桥汽配产业园D栋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联系方式：电话</w:t>
      </w:r>
      <w:r>
        <w:rPr>
          <w:rFonts w:hint="eastAsia" w:ascii="宋体" w:hAnsi="宋体" w:eastAsia="宋体" w:cs="Times New Roman"/>
          <w:color w:val="000000"/>
          <w:sz w:val="24"/>
          <w:szCs w:val="24"/>
          <w:highlight w:val="none"/>
        </w:rPr>
        <w:t xml:space="preserve">0512-66387702。</w:t>
      </w:r>
      <w:r>
        <w:rPr>
          <w:rFonts w:hint="eastAsia" w:ascii="宋体" w:hAnsi="宋体" w:eastAsia="宋体" w:cs="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w:t>
      </w:r>
      <w:r>
        <w:rPr>
          <w:rFonts w:ascii="宋体" w:hAnsi="宋体" w:eastAsia="宋体"/>
          <w:color w:val="000000"/>
          <w:sz w:val="24"/>
          <w:szCs w:val="24"/>
          <w:highlight w:val="none"/>
        </w:rPr>
      </w:r>
      <w:r/>
    </w:p>
    <w:p>
      <w:pPr>
        <w:pStyle w:val="929"/>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项目联系人：</w:t>
      </w:r>
      <w:r>
        <w:rPr>
          <w:rFonts w:hint="eastAsia" w:ascii="宋体" w:hAnsi="宋体" w:eastAsia="宋体" w:cs="宋体"/>
          <w:color w:val="000000"/>
          <w:sz w:val="24"/>
          <w:szCs w:val="24"/>
          <w:highlight w:val="none"/>
        </w:rPr>
        <w:t xml:space="preserve">顾云</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9"/>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电话：</w:t>
      </w:r>
      <w:r>
        <w:rPr>
          <w:rFonts w:ascii="宋体" w:hAnsi="宋体" w:eastAsia="宋体"/>
          <w:color w:val="000000"/>
          <w:sz w:val="24"/>
          <w:szCs w:val="24"/>
          <w:highlight w:val="none"/>
        </w:rPr>
        <w:t xml:space="preserve">0512-66387702</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2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w:t>
      </w:r>
      <w:r>
        <w:rPr>
          <w:rFonts w:hint="eastAsia" w:ascii="宋体" w:hAnsi="宋体" w:eastAsia="宋体" w:cs="宋体"/>
          <w:color w:val="000000"/>
          <w:sz w:val="24"/>
          <w:szCs w:val="24"/>
          <w:highlight w:val="none"/>
          <w:lang w:val="en-US" w:eastAsia="zh-CN"/>
        </w:rPr>
        <w:t xml:space="preserve">徐杰、</w:t>
      </w:r>
      <w:r>
        <w:rPr>
          <w:rFonts w:hint="eastAsia" w:ascii="宋体" w:hAnsi="宋体" w:eastAsia="宋体" w:cs="宋体"/>
          <w:color w:val="000000"/>
          <w:sz w:val="24"/>
          <w:szCs w:val="24"/>
          <w:highlight w:val="none"/>
        </w:rPr>
        <w:t xml:space="preserve">刘木兰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周昀烨</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61"/>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1"/>
        <w:numPr>
          <w:ilvl w:val="0"/>
          <w:numId w:val="0"/>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第二章 </w:t>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61"/>
        <w:numPr>
          <w:ilvl w:val="0"/>
          <w:numId w:val="0"/>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总则</w:t>
      </w:r>
      <w:r>
        <w:rPr>
          <w:rFonts w:hint="eastAsia" w:ascii="宋体" w:hAnsi="宋体" w:eastAsia="宋体" w:cs="宋体"/>
          <w:b/>
          <w:bCs/>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响应单位资格要求</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详见第一章</w:t>
      </w:r>
      <w:r>
        <w:rPr>
          <w:rFonts w:hint="eastAsia" w:ascii="宋体" w:hAnsi="宋体" w:eastAsia="宋体" w:cs="宋体"/>
          <w:bCs/>
          <w:color w:val="000000"/>
          <w:sz w:val="24"/>
          <w:szCs w:val="24"/>
          <w:highlight w:val="none"/>
          <w:lang w:val="en-US" w:eastAsia="zh-CN"/>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1.1.2响应单位不得存在下列情形之一：</w:t>
      </w:r>
      <w:r>
        <w:rPr>
          <w:rFonts w:hint="eastAsia" w:ascii="宋体" w:hAnsi="宋体" w:eastAsia="宋体" w:cs="宋体"/>
          <w:b w:val="0"/>
          <w:bCs w:val="0"/>
          <w:color w:val="000000"/>
          <w:sz w:val="24"/>
          <w:szCs w:val="24"/>
          <w:highlight w:val="none"/>
          <w:lang w:val="en-US" w:eastAsia="zh-CN"/>
        </w:rPr>
      </w:r>
      <w:r/>
    </w:p>
    <w:p>
      <w:pPr>
        <w:pStyle w:val="92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b w:val="0"/>
          <w:bCs w:val="0"/>
          <w:color w:val="000000"/>
          <w:sz w:val="24"/>
          <w:szCs w:val="24"/>
          <w:highlight w:val="none"/>
          <w:lang w:val="en-US" w:eastAsia="zh-CN"/>
        </w:rPr>
      </w:r>
      <w:r/>
    </w:p>
    <w:p>
      <w:pPr>
        <w:pStyle w:val="92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b w:val="0"/>
          <w:bCs w:val="0"/>
          <w:color w:val="000000"/>
          <w:sz w:val="24"/>
          <w:szCs w:val="24"/>
          <w:highlight w:val="none"/>
          <w:lang w:val="en-US" w:eastAsia="zh-CN"/>
        </w:rPr>
      </w:r>
      <w:r/>
    </w:p>
    <w:p>
      <w:pPr>
        <w:pStyle w:val="92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（3）单位负责人为同一人或者存在直接控股、管理关系的不同供应商，不得参加同一合同项下的政府采购活动。</w:t>
      </w:r>
      <w:r>
        <w:rPr>
          <w:rFonts w:hint="eastAsia" w:ascii="宋体" w:hAnsi="宋体" w:eastAsia="宋体" w:cs="宋体"/>
          <w:b w:val="0"/>
          <w:bCs w:val="0"/>
          <w:color w:val="000000"/>
          <w:sz w:val="24"/>
          <w:szCs w:val="24"/>
          <w:highlight w:val="none"/>
          <w:lang w:val="en-US" w:eastAsia="zh-CN"/>
        </w:rPr>
      </w:r>
      <w:r/>
    </w:p>
    <w:p>
      <w:pPr>
        <w:pStyle w:val="92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1.1.3联合体投标：若第一章竞争性磋商邀请函规定接受联合体投标的，联合体除应符合上述资格要求外，还应遵守以下规定：</w:t>
      </w:r>
      <w:r>
        <w:rPr>
          <w:rFonts w:hint="eastAsia" w:ascii="宋体" w:hAnsi="宋体" w:eastAsia="宋体" w:cs="宋体"/>
          <w:b w:val="0"/>
          <w:bCs w:val="0"/>
          <w:color w:val="000000"/>
          <w:sz w:val="24"/>
          <w:szCs w:val="24"/>
          <w:highlight w:val="none"/>
          <w:lang w:val="en-US" w:eastAsia="zh-CN"/>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29"/>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rPr>
          <w:rFonts w:hint="eastAsia" w:ascii="宋体" w:hAnsi="宋体" w:eastAsia="宋体" w:cs="宋体"/>
          <w:b/>
          <w:bCs/>
          <w:color w:val="000000"/>
          <w:sz w:val="24"/>
          <w:szCs w:val="24"/>
          <w:highlight w:val="none"/>
        </w:rPr>
      </w:r>
      <w:r/>
    </w:p>
    <w:p>
      <w:pPr>
        <w:pStyle w:val="929"/>
        <w:ind w:left="525"/>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本项目不允许分包或转包。</w:t>
      </w:r>
      <w:r>
        <w:rPr>
          <w:rFonts w:hint="eastAsia" w:ascii="宋体" w:hAnsi="宋体" w:eastAsia="宋体" w:cs="宋体"/>
          <w:b w:val="0"/>
          <w:bCs w:val="0"/>
          <w:color w:val="000000"/>
          <w:sz w:val="24"/>
          <w:szCs w:val="24"/>
          <w:highlight w:val="none"/>
          <w:lang w:val="en-US" w:eastAsia="zh-CN"/>
        </w:rPr>
      </w:r>
      <w:r/>
    </w:p>
    <w:p>
      <w:pPr>
        <w:pStyle w:val="929"/>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929"/>
        <w:ind w:left="525"/>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1.3.1供应商应自行承担所有准备及参加投标的相关费用。</w:t>
      </w:r>
      <w:r>
        <w:rPr>
          <w:rFonts w:hint="eastAsia" w:ascii="宋体" w:hAnsi="宋体" w:eastAsia="宋体" w:cs="宋体"/>
          <w:b w:val="0"/>
          <w:bCs w:val="0"/>
          <w:color w:val="000000"/>
          <w:sz w:val="24"/>
          <w:szCs w:val="24"/>
          <w:highlight w:val="none"/>
          <w:lang w:val="en-US" w:eastAsia="zh-CN"/>
        </w:rPr>
      </w:r>
      <w:r/>
    </w:p>
    <w:p>
      <w:pPr>
        <w:pStyle w:val="929"/>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 保密</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29"/>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语言文字</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计量单位</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知识产权</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见第一章竞争性磋商</w:t>
      </w:r>
      <w:r>
        <w:rPr>
          <w:rFonts w:hint="eastAsia" w:ascii="宋体" w:hAnsi="宋体" w:eastAsia="宋体" w:cs="宋体"/>
          <w:color w:val="000000"/>
          <w:sz w:val="24"/>
          <w:szCs w:val="24"/>
          <w:highlight w:val="none"/>
          <w:lang w:val="en-US" w:eastAsia="zh-CN"/>
        </w:rPr>
        <w:t xml:space="preserve">邀请函</w:t>
      </w:r>
      <w:r>
        <w:rPr>
          <w:rFonts w:hint="eastAsia" w:ascii="宋体" w:hAnsi="宋体" w:eastAsia="宋体" w:cs="宋体"/>
          <w:color w:val="000000"/>
          <w:sz w:val="24"/>
          <w:szCs w:val="24"/>
          <w:highlight w:val="none"/>
          <w:lang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2.3.4采购文件的澄清、修改、补充等内容均以苏州市政府采购网上发布的内容为准。</w:t>
      </w:r>
      <w:r>
        <w:rPr>
          <w:rFonts w:hint="eastAsia" w:ascii="宋体" w:hAnsi="宋体" w:eastAsia="宋体" w:cs="宋体"/>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b w:val="0"/>
          <w:bCs w:val="0"/>
          <w:color w:val="000000"/>
          <w:sz w:val="24"/>
          <w:szCs w:val="24"/>
          <w:highlight w:val="none"/>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3.2.1封面；</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3.2.2开标一览表（格式见第三章）；</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3.2.3磋商响应明细报价表（格式见第三章）；</w:t>
      </w:r>
      <w:r>
        <w:rPr>
          <w:rFonts w:hint="eastAsia" w:ascii="宋体" w:hAnsi="宋体" w:eastAsia="宋体" w:cs="宋体"/>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3.2.4资格审查响应文件：</w:t>
      </w:r>
      <w:r>
        <w:rPr>
          <w:rFonts w:hint="eastAsia" w:ascii="宋体" w:hAnsi="宋体" w:eastAsia="宋体" w:cs="宋体"/>
          <w:b/>
          <w:bCs/>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的资格要求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（2）具有良好的商业信誉和健全的财务会计制度的材料：包括但不限于法人提供2024年度经审计的财务报告或基本开户银行在本年度内出具的资信证明复印件；</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（3）具有履行合同所必需的设备和专业技术能力的证明材料复印件或承诺；</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（5）参加政府采购活动前三年内，在经营活动中没有出现重大违法记录的书面声明函；</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w:t>
      </w:r>
      <w:r>
        <w:rPr>
          <w:rFonts w:hint="eastAsia" w:ascii="宋体" w:hAnsi="宋体" w:eastAsia="宋体" w:cs="宋体"/>
          <w:b w:val="0"/>
          <w:bCs w:val="0"/>
          <w:color w:val="000000"/>
          <w:sz w:val="24"/>
          <w:szCs w:val="24"/>
          <w:highlight w:val="none"/>
          <w:lang w:val="en-US" w:eastAsia="zh-CN"/>
        </w:rPr>
        <w:t xml:space="preserve">其他有关资格证明的文件（若有）。</w:t>
      </w:r>
      <w:r>
        <w:rPr>
          <w:rFonts w:hint="eastAsia" w:ascii="宋体" w:hAnsi="宋体" w:eastAsia="宋体" w:cs="宋体"/>
          <w:b w:val="0"/>
          <w:bCs w:val="0"/>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3.2.5符合性审查响应文件：</w:t>
      </w:r>
      <w:r>
        <w:rPr>
          <w:rFonts w:hint="eastAsia" w:ascii="宋体" w:hAnsi="宋体" w:eastAsia="宋体" w:cs="宋体"/>
          <w:b w:val="0"/>
          <w:bCs w:val="0"/>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3.2.5.1磋商响应函（格式见第三章）；</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lang w:val="en-US" w:eastAsia="zh-CN"/>
        </w:rPr>
        <w:t xml:space="preserve">（格式见第三章）；</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3.2.5.3法定代表人身份证复印件；</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3.2.5.4法定代表人授权委托书及授权委托人身份证复印件（如有授权，格式见第三章）；</w:t>
      </w:r>
      <w:r>
        <w:rPr>
          <w:rFonts w:hint="eastAsia" w:ascii="宋体" w:hAnsi="宋体" w:eastAsia="宋体" w:cs="宋体"/>
          <w:b/>
          <w:bCs/>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3.2.5.7其他有关符合性证明的文件（若有）。</w:t>
      </w:r>
      <w:r>
        <w:rPr>
          <w:rFonts w:hint="eastAsia" w:ascii="宋体" w:hAnsi="宋体" w:eastAsia="宋体" w:cs="宋体"/>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3.2.6综合评审响应文件(见</w:t>
      </w:r>
      <w:r>
        <w:rPr>
          <w:rFonts w:hint="eastAsia" w:ascii="宋体" w:hAnsi="宋体" w:eastAsia="宋体" w:cs="宋体"/>
          <w:b/>
          <w:bCs/>
          <w:color w:val="000000"/>
          <w:sz w:val="24"/>
          <w:szCs w:val="24"/>
          <w:highlight w:val="none"/>
        </w:rPr>
        <w:t xml:space="preserve">第六章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3.2.7与本次采购相关的其他证明材料。</w:t>
      </w:r>
      <w:r>
        <w:rPr>
          <w:rFonts w:hint="eastAsia" w:ascii="宋体" w:hAnsi="宋体" w:eastAsia="宋体" w:cs="宋体"/>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以上3.2.2-3.2.3项为供应商报价的依据，响应供应商必须提供并加盖电子公章，</w:t>
      </w:r>
      <w:r>
        <w:rPr>
          <w:rFonts w:hint="eastAsia" w:ascii="宋体" w:hAnsi="宋体" w:eastAsia="宋体" w:cs="宋体"/>
          <w:b/>
          <w:bCs/>
          <w:color w:val="000000"/>
          <w:sz w:val="24"/>
          <w:szCs w:val="24"/>
          <w:highlight w:val="none"/>
          <w:lang w:val="en-US" w:eastAsia="zh-CN" w:bidi="ar-SA"/>
        </w:rPr>
        <w:t xml:space="preserve">否则，磋商响应文件将被认定为未实质性响应。</w:t>
      </w:r>
      <w:r>
        <w:rPr>
          <w:rFonts w:hint="eastAsia" w:ascii="宋体" w:hAnsi="宋体" w:eastAsia="宋体" w:cs="宋体"/>
          <w:b/>
          <w:bCs/>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以上3.2.5.1-3.2.5.4为符合性审查必须提供的资料，响应供应商必须提供并加盖</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lang w:val="en-US" w:eastAsia="zh-CN" w:bidi="ar-SA"/>
        </w:rPr>
        <w:t xml:space="preserve">公章，否则，磋商响应文件将被认定为未实质性响应。</w:t>
      </w:r>
      <w:r>
        <w:rPr>
          <w:rFonts w:hint="eastAsia" w:ascii="宋体" w:hAnsi="宋体" w:eastAsia="宋体" w:cs="宋体"/>
          <w:b/>
          <w:bCs/>
          <w:color w:val="000000"/>
          <w:sz w:val="24"/>
          <w:szCs w:val="24"/>
          <w:highlight w:val="none"/>
          <w:lang w:val="en-US" w:eastAsia="zh-CN" w:bidi="ar-SA"/>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lang w:val="en-US" w:eastAsia="zh-CN" w:bidi="ar-SA"/>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lang w:val="en-US" w:eastAsia="zh-CN"/>
        </w:rPr>
      </w:r>
      <w:r/>
    </w:p>
    <w:p>
      <w:pPr>
        <w:pStyle w:val="929"/>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lang w:val="en-US" w:eastAsia="zh-CN"/>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29"/>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3.3.4一项采购内容只允许一个报价，任何有选择性响应报价的，其响应无效。</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5响应</w:t>
      </w:r>
      <w:r>
        <w:rPr>
          <w:rFonts w:hint="eastAsia" w:ascii="宋体" w:hAnsi="宋体" w:eastAsia="宋体" w:cs="宋体"/>
          <w:color w:val="000000"/>
          <w:sz w:val="24"/>
          <w:szCs w:val="24"/>
          <w:highlight w:val="none"/>
        </w:rPr>
        <w:t xml:space="preserve">文件报价中的单价和总价全部采用人民币表示，除非另有规定。</w:t>
      </w:r>
      <w:r>
        <w:rPr>
          <w:rFonts w:hint="eastAsia" w:ascii="宋体" w:hAnsi="宋体" w:eastAsia="宋体" w:cs="宋体"/>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3.3.8报价的大写金额和小写金额不一致的，以大写金额为准。</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3.3.9单价金额小数点或者百分比有明显错位的，以该次报价总价为准。</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3.3.10总价金额与按单价汇总金额不一致的，以单价金额计算结果为准。</w:t>
      </w:r>
      <w:r>
        <w:rPr>
          <w:rFonts w:hint="eastAsia" w:ascii="宋体" w:hAnsi="宋体" w:eastAsia="宋体" w:cs="宋体"/>
          <w:color w:val="000000"/>
          <w:sz w:val="24"/>
          <w:szCs w:val="24"/>
          <w:highlight w:val="none"/>
          <w:lang w:val="en-US" w:eastAsia="zh-CN"/>
        </w:rPr>
      </w:r>
      <w:r/>
    </w:p>
    <w:p>
      <w:pPr>
        <w:pStyle w:val="929"/>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3.4.3响应文件未按照磋商文件要求加盖CA电子公章的，响应无效。</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3.5响应文件的开启（解密）</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3.5.1线上参加（观看）开标（开启）会方式：登录苏采云系统，点击“开标大厅”，选择对应项目。</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lang w:val="en-US" w:eastAsia="zh-CN"/>
        </w:rPr>
        <w:t xml:space="preserve">否则导致的对供应商不利的后果由供应商自行承担。</w:t>
      </w:r>
      <w:r>
        <w:rPr>
          <w:rFonts w:hint="eastAsia" w:ascii="宋体" w:hAnsi="宋体" w:eastAsia="宋体" w:cs="宋体"/>
          <w:b/>
          <w:bCs/>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bookmarkStart w:id="2" w:name="_Hlk154589874"/>
      <w:r>
        <w:rPr>
          <w:rFonts w:hint="eastAsia" w:ascii="宋体" w:hAnsi="宋体" w:eastAsia="宋体" w:cs="宋体"/>
          <w:b/>
          <w:bCs/>
          <w:color w:val="000000"/>
          <w:sz w:val="24"/>
          <w:szCs w:val="24"/>
          <w:highlight w:val="none"/>
          <w:lang w:val="en-US" w:eastAsia="zh-CN"/>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lang w:val="en-US" w:eastAsia="zh-CN"/>
        </w:rPr>
      </w:r>
      <w:r/>
    </w:p>
    <w:p>
      <w:pPr>
        <w:pStyle w:val="929"/>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lang w:val="en-US" w:eastAsia="zh-CN"/>
        </w:rPr>
      </w:r>
      <w:r/>
    </w:p>
    <w:p>
      <w:pPr>
        <w:pStyle w:val="929"/>
        <w:ind w:firstLine="480"/>
        <w:spacing w:line="360" w:lineRule="auto"/>
        <w:shd w:val="clear" w:color="auto" w:fill="auto"/>
        <w:rPr>
          <w:rFonts w:hint="eastAsia" w:ascii="宋体" w:hAnsi="宋体" w:eastAsia="宋体" w:cs="宋体"/>
          <w:color w:val="000000"/>
          <w:sz w:val="24"/>
          <w:szCs w:val="24"/>
          <w:highlight w:val="none"/>
          <w:lang w:eastAsia="zh-CN"/>
        </w:rPr>
      </w:pPr>
      <w:r/>
      <w:bookmarkEnd w:id="2"/>
      <w:r>
        <w:rPr>
          <w:rFonts w:hint="eastAsia" w:ascii="宋体" w:hAnsi="宋体" w:eastAsia="宋体" w:cs="宋体"/>
          <w:color w:val="000000"/>
          <w:sz w:val="24"/>
          <w:szCs w:val="24"/>
          <w:highlight w:val="none"/>
          <w:lang w:val="en-US" w:eastAsia="zh-CN"/>
        </w:rPr>
        <w:t xml:space="preserve">3.5.5 </w:t>
      </w: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电子签章技术咨询服务电话：025-83633811、025-83633812、15380932027、15371015030；</w:t>
      </w:r>
      <w:r>
        <w:rPr>
          <w:rFonts w:hint="eastAsia" w:ascii="宋体" w:hAnsi="宋体" w:eastAsia="宋体" w:cs="宋体"/>
          <w:color w:val="000000"/>
          <w:sz w:val="24"/>
          <w:szCs w:val="24"/>
          <w:highlight w:val="none"/>
          <w:lang w:val="en-US" w:eastAsia="zh-CN"/>
        </w:rPr>
      </w:r>
      <w:r/>
    </w:p>
    <w:p>
      <w:pPr>
        <w:pStyle w:val="929"/>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苏州市及区县“苏采云”系统</w:t>
      </w:r>
      <w:r>
        <w:rPr>
          <w:rFonts w:hint="eastAsia" w:ascii="宋体" w:hAnsi="宋体" w:eastAsia="宋体" w:cs="宋体"/>
          <w:color w:val="000000"/>
          <w:sz w:val="24"/>
          <w:szCs w:val="24"/>
          <w:highlight w:val="none"/>
        </w:rPr>
        <w:t xml:space="preserve">使用指导与咨询：联系电话：0512-69820854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18261002950；QQ：3048755361、1315179389、895706745</w:t>
      </w:r>
      <w:r>
        <w:rPr>
          <w:rFonts w:hint="eastAsia" w:ascii="宋体" w:hAnsi="宋体" w:eastAsia="宋体" w:cs="宋体"/>
          <w:color w:val="000000"/>
          <w:sz w:val="24"/>
          <w:szCs w:val="24"/>
          <w:highlight w:val="none"/>
        </w:rPr>
        <w:t xml:space="preserve">；智能客服：登录苏采云系统后，联系系统右下方智能客服图标进行咨询。 </w:t>
      </w:r>
      <w:r>
        <w:rPr>
          <w:rFonts w:hint="eastAsia" w:ascii="宋体" w:hAnsi="宋体" w:eastAsia="宋体" w:cs="宋体"/>
          <w:color w:val="000000"/>
          <w:sz w:val="24"/>
          <w:szCs w:val="24"/>
          <w:highlight w:val="none"/>
        </w:rPr>
      </w:r>
      <w:r/>
    </w:p>
    <w:p>
      <w:pPr>
        <w:pStyle w:val="929"/>
        <w:ind w:left="5" w:firstLine="520"/>
        <w:spacing w:line="360" w:lineRule="auto"/>
        <w:tabs>
          <w:tab w:val="left" w:pos="851"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响应文件的修改和撤回</w:t>
      </w:r>
      <w:r>
        <w:rPr>
          <w:rFonts w:hint="eastAsia" w:ascii="宋体" w:hAnsi="宋体" w:eastAsia="宋体" w:cs="宋体"/>
          <w:b/>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(一)参加采购活动前三年内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与供应商存在劳动关系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或者担任过供应商的董事、监事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或者是供应商的控股股东或实际控制人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strike w:val="0"/>
          <w:color w:val="000000"/>
          <w:sz w:val="24"/>
          <w:szCs w:val="24"/>
          <w:highlight w:val="none"/>
        </w:rPr>
      </w:pPr>
      <w:r>
        <w:rPr>
          <w:rFonts w:hint="eastAsia" w:ascii="宋体" w:hAnsi="宋体" w:eastAsia="宋体" w:cs="宋体"/>
          <w:color w:val="000000"/>
          <w:sz w:val="24"/>
          <w:szCs w:val="24"/>
          <w:highlight w:val="none"/>
        </w:rPr>
        <w:t xml:space="preserve">（2）查询渠道：</w:t>
      </w:r>
      <w:r>
        <w:rPr>
          <w:rFonts w:hint="eastAsia" w:ascii="宋体" w:hAnsi="宋体" w:eastAsia="宋体" w:cs="宋体"/>
          <w:color w:val="000000"/>
          <w:sz w:val="24"/>
          <w:szCs w:val="24"/>
          <w:highlight w:val="none"/>
          <w:lang w:val="en-US" w:eastAsia="zh-CN"/>
        </w:rPr>
        <w:t xml:space="preserve">通过“信用中国”、“信用江苏”及“中国政府采购网” 上的信用信息查询供应商的信用记录。</w:t>
      </w:r>
      <w:r>
        <w:rPr>
          <w:rFonts w:hint="eastAsia" w:ascii="宋体" w:hAnsi="宋体" w:eastAsia="宋体" w:cs="宋体"/>
          <w:strike w:val="0"/>
          <w:color w:val="000000"/>
          <w:sz w:val="24"/>
          <w:szCs w:val="24"/>
          <w:highlight w:val="none"/>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（3）查询证据留存方式：对存在失信信息的供应商，评审小组应填写《苏州市级政府采购供应商失信信息确认函》，由失信供应商签名（章）确认。采购代理机构工作人员应</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到来源网站页面进行复核并打印，作为证据留存。</w:t>
      </w:r>
      <w:r>
        <w:rPr>
          <w:rFonts w:hint="eastAsia" w:ascii="宋体" w:hAnsi="宋体" w:eastAsia="宋体" w:cs="宋体"/>
          <w:color w:val="000000"/>
          <w:sz w:val="24"/>
          <w:szCs w:val="24"/>
          <w:highlight w:val="none"/>
        </w:rPr>
      </w:r>
      <w:r/>
    </w:p>
    <w:p>
      <w:pPr>
        <w:pStyle w:val="929"/>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lang w:val="en-US" w:eastAsia="zh-CN"/>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4.3.4</w:t>
      </w:r>
      <w:r>
        <w:rPr>
          <w:rFonts w:hint="eastAsia" w:ascii="宋体" w:hAnsi="宋体" w:eastAsia="宋体" w:cs="宋体"/>
          <w:color w:val="000000"/>
          <w:sz w:val="24"/>
          <w:szCs w:val="24"/>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w:t>
      </w:r>
      <w:r>
        <w:rPr>
          <w:rFonts w:hint="eastAsia" w:ascii="宋体" w:hAnsi="宋体" w:eastAsia="宋体" w:cs="宋体"/>
          <w:color w:val="000000"/>
          <w:sz w:val="24"/>
          <w:szCs w:val="24"/>
          <w:highlight w:val="none"/>
        </w:rPr>
        <w:t xml:space="preserve">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lang w:val="en-US" w:eastAsia="zh-CN"/>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4.4.1本项目采用线上澄清。</w:t>
      </w:r>
      <w:r>
        <w:rPr>
          <w:rFonts w:hint="eastAsia" w:ascii="宋体" w:hAnsi="宋体" w:eastAsia="宋体" w:cs="宋体"/>
          <w:color w:val="000000"/>
          <w:sz w:val="24"/>
          <w:szCs w:val="24"/>
          <w:highlight w:val="none"/>
          <w:lang w:val="en-US" w:eastAsia="zh-CN"/>
        </w:rPr>
      </w:r>
      <w:r/>
    </w:p>
    <w:p>
      <w:pPr>
        <w:pStyle w:val="10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w:t>
      </w:r>
      <w:r>
        <w:rPr>
          <w:rFonts w:hint="eastAsia" w:ascii="宋体" w:hAnsi="宋体" w:eastAsia="宋体" w:cs="宋体"/>
          <w:color w:val="000000"/>
          <w:sz w:val="24"/>
          <w:szCs w:val="24"/>
          <w:highlight w:val="none"/>
          <w:lang w:val="zh-CN" w:eastAsia="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lang w:val="en-US" w:eastAsia="zh-CN"/>
        </w:rPr>
      </w:r>
      <w:r/>
    </w:p>
    <w:p>
      <w:pPr>
        <w:pStyle w:val="10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lang w:val="en-US" w:eastAsia="zh-CN"/>
        </w:rPr>
      </w:r>
      <w:r/>
    </w:p>
    <w:p>
      <w:pPr>
        <w:pStyle w:val="929"/>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29"/>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29"/>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29"/>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29"/>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评审过程中出现下列情形之一的，评审委员会应当启动异常低价投标（响应）审查程序：</w:t>
      </w:r>
      <w:r>
        <w:rPr>
          <w:rFonts w:ascii="宋体" w:hAnsi="宋体" w:eastAsia="宋体" w:cs="宋体"/>
          <w:color w:val="000000"/>
          <w:sz w:val="24"/>
          <w:szCs w:val="24"/>
          <w:highlight w:val="none"/>
        </w:rPr>
      </w:r>
      <w:r/>
    </w:p>
    <w:p>
      <w:pPr>
        <w:pStyle w:val="929"/>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ascii="宋体" w:hAnsi="宋体" w:eastAsia="宋体" w:cs="宋体"/>
          <w:color w:val="000000"/>
          <w:sz w:val="24"/>
          <w:szCs w:val="24"/>
          <w:highlight w:val="none"/>
        </w:rPr>
        <w:t xml:space="preserve">投标（响应）报价低于采购项目预算50%的，即投标（响 应）报价&lt;采购项目预算×50%；</w:t>
      </w:r>
      <w:r>
        <w:rPr>
          <w:rFonts w:ascii="宋体" w:hAnsi="宋体" w:eastAsia="宋体" w:cs="宋体"/>
          <w:color w:val="000000"/>
          <w:sz w:val="24"/>
          <w:szCs w:val="24"/>
          <w:highlight w:val="none"/>
        </w:rPr>
      </w:r>
      <w:r/>
    </w:p>
    <w:p>
      <w:pPr>
        <w:pStyle w:val="929"/>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ascii="宋体" w:hAnsi="宋体" w:eastAsia="宋体" w:cs="宋体"/>
          <w:color w:val="000000"/>
          <w:sz w:val="24"/>
          <w:szCs w:val="24"/>
          <w:highlight w:val="none"/>
        </w:rPr>
        <w:t xml:space="preserve">投标（响应）报价低于采购项目最高限价45%的，即投 标（响应）报价&lt;采购项目最高限价×45%； </w:t>
      </w:r>
      <w:r>
        <w:rPr>
          <w:rFonts w:ascii="宋体" w:hAnsi="宋体" w:eastAsia="宋体" w:cs="宋体"/>
          <w:color w:val="000000"/>
          <w:sz w:val="24"/>
          <w:szCs w:val="24"/>
          <w:highlight w:val="none"/>
        </w:rPr>
      </w:r>
      <w:r/>
    </w:p>
    <w:p>
      <w:pPr>
        <w:pStyle w:val="929"/>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③磋商小组</w:t>
      </w:r>
      <w:r>
        <w:rPr>
          <w:rFonts w:ascii="宋体" w:hAnsi="宋体" w:eastAsia="宋体" w:cs="宋体"/>
          <w:color w:val="000000"/>
          <w:sz w:val="24"/>
          <w:szCs w:val="24"/>
          <w:highlight w:val="none"/>
        </w:rPr>
        <w:t xml:space="preserve">认定的供应商报价过低、有可能影响产品质 量或者不能诚信履约的其他情形。 </w:t>
      </w:r>
      <w:r>
        <w:rPr>
          <w:rFonts w:ascii="宋体" w:hAnsi="宋体" w:eastAsia="宋体" w:cs="宋体"/>
          <w:color w:val="000000"/>
          <w:sz w:val="24"/>
          <w:szCs w:val="24"/>
          <w:highlight w:val="none"/>
        </w:rPr>
      </w:r>
      <w:r/>
    </w:p>
    <w:p>
      <w:pPr>
        <w:pStyle w:val="929"/>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w:t>
      </w:r>
      <w:r>
        <w:rPr>
          <w:rFonts w:ascii="宋体" w:hAnsi="宋体" w:eastAsia="宋体" w:cs="宋体"/>
          <w:color w:val="000000"/>
          <w:sz w:val="24"/>
          <w:szCs w:val="24"/>
          <w:highlight w:val="none"/>
        </w:rPr>
        <w:t xml:space="preserve">启动异常低价响应审查后，</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应当要求相关供应商在评标现场合理的时间内</w:t>
      </w:r>
      <w:r>
        <w:rPr>
          <w:rFonts w:hint="eastAsia" w:ascii="宋体" w:hAnsi="宋体" w:eastAsia="宋体" w:cs="宋体"/>
          <w:color w:val="000000"/>
          <w:sz w:val="24"/>
          <w:szCs w:val="24"/>
          <w:highlight w:val="none"/>
        </w:rPr>
        <w:t xml:space="preserve">（线上开评标项目可通过苏采云系统要求提供）</w:t>
      </w:r>
      <w:r>
        <w:rPr>
          <w:rFonts w:ascii="宋体" w:hAnsi="宋体" w:eastAsia="宋体" w:cs="宋体"/>
          <w:color w:val="000000"/>
          <w:sz w:val="24"/>
          <w:szCs w:val="24"/>
          <w:highlight w:val="none"/>
        </w:rPr>
        <w:t xml:space="preserve">，提供项目具体成本测算等与报价合理性相关的书面说明及相关证明材料，对响应价格作出解释，由</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结合同类产品在主要电商平台的价格、该行业当地薪资水平等情况，依据专业经验对供应商</w:t>
      </w:r>
      <w:r>
        <w:rPr>
          <w:rFonts w:hint="eastAsia" w:ascii="宋体" w:hAnsi="宋体" w:eastAsia="宋体" w:cs="宋体"/>
          <w:color w:val="000000"/>
          <w:sz w:val="24"/>
          <w:szCs w:val="24"/>
          <w:highlight w:val="none"/>
        </w:rPr>
        <w:t xml:space="preserve">报</w:t>
      </w:r>
      <w:r>
        <w:rPr>
          <w:rFonts w:ascii="宋体" w:hAnsi="宋体" w:eastAsia="宋体" w:cs="宋体"/>
          <w:color w:val="000000"/>
          <w:sz w:val="24"/>
          <w:szCs w:val="24"/>
          <w:highlight w:val="none"/>
        </w:rPr>
        <w:t xml:space="preserve">价合理性进行判断。响应供应商不提供书面说明、证明材料，或者提供的书面说明、证明材料不能证明其报价合理性的，</w:t>
      </w:r>
      <w:r>
        <w:rPr>
          <w:rFonts w:hint="eastAsia" w:ascii="宋体" w:hAnsi="宋体" w:eastAsia="宋体" w:cs="宋体"/>
          <w:b/>
          <w:bCs/>
          <w:color w:val="000000"/>
          <w:sz w:val="24"/>
          <w:szCs w:val="24"/>
          <w:highlight w:val="none"/>
        </w:rPr>
        <w:t xml:space="preserve">磋商小组</w:t>
      </w:r>
      <w:r>
        <w:rPr>
          <w:rFonts w:ascii="宋体" w:hAnsi="宋体" w:eastAsia="宋体" w:cs="宋体"/>
          <w:b/>
          <w:bCs/>
          <w:color w:val="000000"/>
          <w:sz w:val="24"/>
          <w:szCs w:val="24"/>
          <w:highlight w:val="none"/>
        </w:rPr>
        <w:t xml:space="preserve">应当将其作为无效响应处理。</w:t>
      </w:r>
      <w:r>
        <w:rPr>
          <w:rFonts w:ascii="宋体" w:hAnsi="宋体" w:eastAsia="宋体" w:cs="宋体"/>
          <w:color w:val="000000"/>
          <w:sz w:val="24"/>
          <w:szCs w:val="24"/>
          <w:highlight w:val="none"/>
        </w:rPr>
        <w:t xml:space="preserve">审查相关情况</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应当在评审报告中进行记录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6"/>
        <w:ind w:left="420" w:firstLine="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4.5.5未在规定时间提交最后报价的，响应文件按无效处理。</w:t>
      </w:r>
      <w:r>
        <w:rPr>
          <w:rFonts w:ascii="宋体" w:hAnsi="宋体" w:eastAsia="宋体" w:cs="宋体"/>
          <w:color w:val="000000"/>
          <w:sz w:val="24"/>
          <w:szCs w:val="24"/>
          <w:highlight w:val="none"/>
        </w:rPr>
      </w:r>
      <w:r/>
    </w:p>
    <w:p>
      <w:pPr>
        <w:pStyle w:val="1076"/>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4.5.6在规定时间内提交最后报价的供应商少于3家的，项目终止。</w:t>
      </w:r>
      <w:r>
        <w:rPr>
          <w:rFonts w:hint="eastAsia" w:ascii="宋体" w:hAnsi="宋体" w:eastAsia="宋体" w:cs="宋体"/>
          <w:color w:val="000000"/>
          <w:sz w:val="24"/>
          <w:szCs w:val="24"/>
          <w:highlight w:val="none"/>
        </w:rPr>
      </w:r>
      <w:r/>
    </w:p>
    <w:p>
      <w:pPr>
        <w:pStyle w:val="10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1076"/>
        <w:numPr>
          <w:ilvl w:val="0"/>
          <w:numId w:val="1"/>
        </w:numPr>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成交</w:t>
      </w:r>
      <w:r>
        <w:rPr>
          <w:rFonts w:hint="eastAsia" w:ascii="宋体" w:hAnsi="宋体" w:eastAsia="宋体" w:cs="宋体"/>
          <w:b/>
          <w:color w:val="000000"/>
          <w:sz w:val="24"/>
          <w:szCs w:val="24"/>
          <w:highlight w:val="none"/>
        </w:rPr>
      </w:r>
      <w:r/>
    </w:p>
    <w:p>
      <w:pPr>
        <w:pStyle w:val="1076"/>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本项目评标方法</w:t>
      </w:r>
      <w:r>
        <w:rPr>
          <w:rFonts w:hint="eastAsia" w:ascii="宋体" w:hAnsi="宋体" w:eastAsia="宋体" w:cs="宋体"/>
          <w:color w:val="000000"/>
          <w:sz w:val="24"/>
          <w:szCs w:val="24"/>
          <w:highlight w:val="none"/>
        </w:rPr>
        <w:t xml:space="preserve">采用综合评分法，即指</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文件全部实质性要求，且按照评审因素的量化指标评审得分最高的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候选人的评标方法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磋商小组应当根据综合评分情况，按照评审得分由高到底顺序推荐3名以上成交候选供应商，评审得分相同的，按照最后报价由低到高的顺序推荐，评审得分且最后报价相同的，则由</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组织抽签确定</w:t>
      </w:r>
      <w:r>
        <w:rPr>
          <w:rFonts w:hint="eastAsia" w:ascii="宋体" w:hAnsi="宋体" w:eastAsia="宋体" w:cs="宋体"/>
          <w:color w:val="000000"/>
          <w:sz w:val="24"/>
          <w:szCs w:val="24"/>
          <w:highlight w:val="none"/>
          <w:lang w:val="en-US" w:eastAsia="zh-CN"/>
        </w:rPr>
        <w:t xml:space="preserve">成交候选人顺序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6"/>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76"/>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76"/>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5599"/>
      <w:r/>
      <w:bookmarkStart w:id="4" w:name="_Hlk132385577"/>
      <w:r/>
      <w:bookmarkStart w:id="5" w:name="_Hlk132389804"/>
      <w:r>
        <w:rPr>
          <w:rFonts w:hint="eastAsia" w:ascii="宋体" w:hAnsi="宋体" w:eastAsia="宋体" w:cs="宋体"/>
          <w:color w:val="000000"/>
          <w:sz w:val="24"/>
          <w:szCs w:val="24"/>
          <w:highlight w:val="none"/>
        </w:rPr>
        <w:t xml:space="preserve">。请成交供应商在成交结果公告届满之日起30日内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通知书发出之日起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val="en-US" w:eastAsia="zh-CN"/>
        </w:rPr>
        <w:t xml:space="preserve">（最迟30日内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文件及</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文件规定与</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单位签订书面合同。</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lang w:val="en-US" w:eastAsia="zh-CN"/>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lang w:val="en-US" w:eastAsia="zh-CN"/>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8.5成交供应商无正当理由不得放弃成交。</w:t>
      </w:r>
      <w:r>
        <w:rPr>
          <w:rFonts w:hint="eastAsia" w:ascii="宋体" w:hAnsi="宋体" w:eastAsia="宋体" w:cs="宋体"/>
          <w:color w:val="000000"/>
          <w:sz w:val="24"/>
          <w:szCs w:val="24"/>
          <w:highlight w:val="none"/>
          <w:lang w:val="en-US" w:eastAsia="zh-CN"/>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lang w:val="en-US" w:eastAsia="zh-CN"/>
        </w:rPr>
      </w:r>
      <w:r/>
    </w:p>
    <w:p>
      <w:pPr>
        <w:pStyle w:val="929"/>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9.1质疑及答复遵守《政府采购质疑和投诉办法》（中华人民共和国财政部令第94号）规定。</w:t>
      </w:r>
      <w:r>
        <w:rPr>
          <w:rFonts w:hint="eastAsia" w:ascii="宋体" w:hAnsi="宋体" w:eastAsia="宋体" w:cs="宋体"/>
          <w:color w:val="000000"/>
          <w:sz w:val="24"/>
          <w:szCs w:val="24"/>
          <w:highlight w:val="none"/>
          <w:lang w:val="en-US" w:eastAsia="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lang w:val="en-US" w:eastAsia="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lang w:val="en-US" w:eastAsia="zh-CN"/>
        </w:rPr>
      </w:r>
      <w:r/>
    </w:p>
    <w:p>
      <w:pPr>
        <w:pStyle w:val="92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lang w:val="en-US" w:eastAsia="zh-CN"/>
        </w:rPr>
      </w:r>
      <w:r/>
    </w:p>
    <w:p>
      <w:pPr>
        <w:pStyle w:val="929"/>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29"/>
        <w:ind w:firstLine="520"/>
        <w:spacing w:line="360" w:lineRule="auto"/>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代理服务费</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由成交供应商承担。</w:t>
      </w:r>
      <w:r>
        <w:rPr>
          <w:rFonts w:hint="eastAsia" w:ascii="宋体" w:hAnsi="宋体" w:eastAsia="宋体" w:cs="宋体"/>
          <w:b/>
          <w:color w:val="000000"/>
          <w:sz w:val="24"/>
          <w:szCs w:val="24"/>
          <w:highlight w:val="none"/>
          <w:lang w:val="en-US"/>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11.1代理服务费</w:t>
      </w:r>
      <w:r>
        <w:rPr>
          <w:rFonts w:hint="eastAsia" w:ascii="宋体" w:hAnsi="宋体" w:eastAsia="宋体" w:cs="宋体"/>
          <w:bCs/>
          <w:color w:val="000000"/>
          <w:sz w:val="24"/>
          <w:szCs w:val="24"/>
          <w:highlight w:val="none"/>
        </w:rPr>
        <w:t xml:space="preserve">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本项目代理服务费（人民币）：</w:t>
      </w:r>
      <w:r>
        <w:rPr>
          <w:rFonts w:hint="eastAsia" w:ascii="宋体" w:hAnsi="宋体" w:eastAsia="宋体" w:cs="宋体"/>
          <w:bCs/>
          <w:color w:val="000000"/>
          <w:sz w:val="24"/>
          <w:szCs w:val="24"/>
          <w:highlight w:val="none"/>
          <w:u w:val="none"/>
          <w:lang w:val="en-US" w:eastAsia="zh-CN"/>
        </w:rPr>
        <w:t xml:space="preserve">18300.00</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11.2采购代理机构服务费账号如下：</w:t>
      </w:r>
      <w:r>
        <w:rPr>
          <w:rFonts w:hint="eastAsia" w:ascii="宋体" w:hAnsi="宋体" w:eastAsia="宋体" w:cs="宋体"/>
          <w:bCs/>
          <w:color w:val="000000"/>
          <w:sz w:val="24"/>
          <w:szCs w:val="24"/>
          <w:highlight w:val="none"/>
          <w:lang w:val="en-US" w:eastAsia="zh-CN"/>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收款单位：苏州正杰招投标咨询服务有限公司。</w:t>
      </w:r>
      <w:r>
        <w:rPr>
          <w:rFonts w:hint="eastAsia" w:ascii="宋体" w:hAnsi="宋体" w:eastAsia="宋体" w:cs="宋体"/>
          <w:bCs/>
          <w:color w:val="000000"/>
          <w:sz w:val="24"/>
          <w:szCs w:val="24"/>
          <w:highlight w:val="none"/>
          <w:lang w:val="en-US" w:eastAsia="zh-CN"/>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银行账号：89190154740002582。</w:t>
      </w:r>
      <w:r>
        <w:rPr>
          <w:rFonts w:hint="eastAsia" w:ascii="宋体" w:hAnsi="宋体" w:eastAsia="宋体" w:cs="宋体"/>
          <w:bCs/>
          <w:color w:val="000000"/>
          <w:sz w:val="24"/>
          <w:szCs w:val="24"/>
          <w:highlight w:val="none"/>
          <w:lang w:val="en-US" w:eastAsia="zh-CN"/>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开户银行：上海浦东发展银行苏州姑苏支行。</w:t>
      </w:r>
      <w:r>
        <w:rPr>
          <w:rFonts w:hint="eastAsia" w:ascii="宋体" w:hAnsi="宋体" w:eastAsia="宋体" w:cs="宋体"/>
          <w:bCs/>
          <w:color w:val="000000"/>
          <w:sz w:val="24"/>
          <w:szCs w:val="24"/>
          <w:highlight w:val="none"/>
          <w:lang w:val="en-US" w:eastAsia="zh-CN"/>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11.3</w:t>
      </w:r>
      <w:r>
        <w:rPr>
          <w:rFonts w:hint="eastAsia" w:ascii="宋体" w:hAnsi="宋体" w:eastAsia="宋体" w:cs="宋体"/>
          <w:color w:val="000000"/>
          <w:sz w:val="24"/>
          <w:szCs w:val="24"/>
          <w:highlight w:val="none"/>
        </w:rPr>
        <w:t xml:space="preserve">代理服务费由成交供应商在领取成交通知书时一次性付清并含在其响应报价中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9"/>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11.4</w:t>
      </w:r>
      <w:r>
        <w:rPr>
          <w:rFonts w:hint="eastAsia" w:ascii="宋体" w:hAnsi="宋体" w:eastAsia="宋体" w:cs="宋体"/>
          <w:bCs/>
          <w:color w:val="000000"/>
          <w:sz w:val="24"/>
          <w:szCs w:val="24"/>
          <w:highlight w:val="none"/>
        </w:rPr>
        <w:t xml:space="preserve">成交单位如果未按上述规定缴纳成交服务费，采购代理机构将保留诉讼的权利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9"/>
        <w:ind w:firstLine="52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12、</w:t>
      </w:r>
      <w:r>
        <w:rPr>
          <w:rFonts w:hint="eastAsia" w:ascii="宋体" w:hAnsi="宋体" w:eastAsia="宋体" w:cs="宋体"/>
          <w:b/>
          <w:color w:val="000000"/>
          <w:sz w:val="24"/>
          <w:szCs w:val="24"/>
          <w:highlight w:val="none"/>
          <w:lang w:val="en-US" w:eastAsia="zh-CN"/>
        </w:rPr>
        <w:t xml:space="preserve">其他</w:t>
      </w:r>
      <w:r>
        <w:rPr>
          <w:rFonts w:hint="eastAsia" w:ascii="宋体" w:hAnsi="宋体" w:eastAsia="宋体" w:cs="宋体"/>
          <w:b/>
          <w:color w:val="000000"/>
          <w:sz w:val="24"/>
          <w:szCs w:val="24"/>
          <w:highlight w:val="none"/>
          <w:lang w:val="en-US" w:eastAsia="zh-CN"/>
        </w:rPr>
        <w:t xml:space="preserve">事项</w:t>
      </w:r>
      <w:r>
        <w:rPr>
          <w:rFonts w:hint="eastAsia" w:ascii="宋体" w:hAnsi="宋体" w:eastAsia="宋体" w:cs="宋体"/>
          <w:b/>
          <w:color w:val="000000"/>
          <w:sz w:val="24"/>
          <w:szCs w:val="24"/>
          <w:highlight w:val="none"/>
          <w:lang w:val="en-US" w:eastAsia="zh-CN"/>
        </w:rPr>
      </w:r>
      <w:r/>
    </w:p>
    <w:p>
      <w:pPr>
        <w:pStyle w:val="929"/>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hint="eastAsia" w:ascii="宋体" w:hAnsi="宋体" w:eastAsia="宋体" w:cs="宋体"/>
          <w:color w:val="000000"/>
          <w:sz w:val="24"/>
          <w:szCs w:val="24"/>
          <w:highlight w:val="none"/>
        </w:rPr>
      </w:r>
      <w:r/>
    </w:p>
    <w:p>
      <w:pPr>
        <w:pStyle w:val="953"/>
        <w:ind w:firstLine="0"/>
        <w:jc w:val="center"/>
        <w:spacing w:line="360" w:lineRule="auto"/>
        <w:rPr>
          <w:rFonts w:hint="eastAsia" w:ascii="宋体" w:hAnsi="宋体" w:eastAsia="宋体" w:cs="宋体"/>
          <w:b/>
          <w:bCs w:val="0"/>
          <w:color w:val="000000"/>
          <w:szCs w:val="24"/>
          <w:highlight w:val="none"/>
        </w:rPr>
        <w:sectPr>
          <w:footerReference w:type="default" r:id="rId13"/>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val="0"/>
          <w:color w:val="000000"/>
          <w:szCs w:val="24"/>
          <w:highlight w:val="none"/>
        </w:rPr>
      </w:r>
      <w:r/>
    </w:p>
    <w:p>
      <w:pPr>
        <w:pStyle w:val="953"/>
        <w:ind w:firstLine="0"/>
        <w:jc w:val="center"/>
        <w:spacing w:line="360" w:lineRule="auto"/>
        <w:rPr>
          <w:rFonts w:hint="eastAsia" w:ascii="宋体" w:hAnsi="宋体" w:eastAsia="宋体" w:cs="宋体"/>
          <w:b/>
          <w:bCs w:val="0"/>
          <w:color w:val="000000"/>
          <w:szCs w:val="24"/>
          <w:highlight w:val="none"/>
          <w:lang w:val="zh-CN"/>
        </w:rPr>
      </w:pPr>
      <w:r>
        <w:rPr>
          <w:rFonts w:hint="eastAsia" w:ascii="宋体" w:hAnsi="宋体" w:eastAsia="宋体" w:cs="宋体"/>
          <w:b/>
          <w:bCs w:val="0"/>
          <w:color w:val="000000"/>
          <w:szCs w:val="24"/>
          <w:highlight w:val="none"/>
        </w:rPr>
        <w:t xml:space="preserve">第三章  </w:t>
      </w:r>
      <w:r>
        <w:rPr>
          <w:rFonts w:hint="eastAsia" w:ascii="宋体" w:hAnsi="宋体" w:eastAsia="宋体" w:cs="宋体"/>
          <w:b/>
          <w:bCs w:val="0"/>
          <w:color w:val="000000"/>
          <w:szCs w:val="24"/>
          <w:highlight w:val="none"/>
          <w:lang w:val="zh-CN"/>
        </w:rPr>
        <w:t xml:space="preserve">响应文件格式</w:t>
      </w:r>
      <w:r>
        <w:rPr>
          <w:rFonts w:hint="eastAsia" w:ascii="宋体" w:hAnsi="宋体" w:eastAsia="宋体" w:cs="宋体"/>
          <w:b/>
          <w:bCs w:val="0"/>
          <w:color w:val="000000"/>
          <w:szCs w:val="24"/>
          <w:highlight w:val="none"/>
          <w:lang w:val="zh-CN"/>
        </w:rPr>
      </w:r>
      <w:r/>
    </w:p>
    <w:p>
      <w:pPr>
        <w:pStyle w:val="953"/>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号采购文件，经仔细阅读和研究，我们决定参加采购活动。</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1、我们愿意按照采购文件的一切要求，提供完成该项目的全部内容，我们的报价包括</w:t>
      </w:r>
      <w:r>
        <w:rPr>
          <w:rFonts w:hint="eastAsia" w:ascii="宋体"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2、如果我们的响应文件被接受，我们将严格履行采购文件中规定的每一项要求，按期、按质、按量履行合同的义务。</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3、我们同意按采购文件规定，响应文件有效期限为自</w:t>
      </w:r>
      <w:r>
        <w:rPr>
          <w:rFonts w:hint="eastAsia" w:ascii="宋体" w:hAnsi="宋体" w:eastAsia="宋体" w:cs="宋体"/>
          <w:bCs/>
          <w:color w:val="000000"/>
          <w:sz w:val="24"/>
          <w:szCs w:val="24"/>
          <w:highlight w:val="none"/>
          <w:lang w:val="zh-CN"/>
        </w:rPr>
        <w:t xml:space="preserve">响应文件提交截止之日</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天。如果我们在开标后规定的有效期内撤回，我们愿承担一切责任。</w:t>
      </w: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5、我们认为你们有权决定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，还认为你们有权接受或拒绝所有的供应商。</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6、我们愿意遵守采购文件中所列的收费标准。</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7、我们承诺本响应文件在磋商开始后的全过程中保持有效，不作任何更改和变动。我们同意</w:t>
      </w:r>
      <w:r>
        <w:rPr>
          <w:rFonts w:hint="eastAsia" w:ascii="宋体" w:hAnsi="宋体" w:eastAsia="宋体" w:cs="宋体"/>
          <w:color w:val="000000"/>
          <w:sz w:val="24"/>
          <w:szCs w:val="24"/>
          <w:highlight w:val="none"/>
          <w:lang w:val="zh-CN"/>
        </w:rPr>
        <w:t xml:space="preserve">成交</w:t>
      </w:r>
      <w:r>
        <w:rPr>
          <w:rFonts w:hint="eastAsia" w:ascii="宋体" w:hAnsi="宋体" w:eastAsia="宋体" w:cs="宋体"/>
          <w:color w:val="000000"/>
          <w:sz w:val="24"/>
          <w:szCs w:val="24"/>
          <w:highlight w:val="none"/>
        </w:rPr>
        <w:t xml:space="preserve">后若不履行响应文件的内容要求和各项承诺及义务的即被视为违约，我们愿承担一切责任。</w:t>
      </w:r>
      <w:r>
        <w:rPr>
          <w:rFonts w:hint="eastAsia" w:ascii="宋体" w:hAnsi="宋体" w:eastAsia="宋体" w:cs="宋体"/>
          <w:color w:val="000000"/>
          <w:sz w:val="24"/>
          <w:szCs w:val="24"/>
          <w:highlight w:val="none"/>
        </w:rPr>
      </w:r>
      <w:r/>
    </w:p>
    <w:p>
      <w:pPr>
        <w:pStyle w:val="10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8、如果我们成交，我们愿意在签订合同时按采购文件的规定支付成交服务费。</w:t>
      </w:r>
      <w:r>
        <w:rPr>
          <w:rFonts w:hint="eastAsia" w:ascii="宋体" w:hAnsi="宋体" w:eastAsia="宋体" w:cs="宋体"/>
          <w:color w:val="000000"/>
          <w:sz w:val="24"/>
          <w:szCs w:val="24"/>
          <w:highlight w:val="none"/>
        </w:rPr>
      </w:r>
      <w:r/>
    </w:p>
    <w:p>
      <w:pPr>
        <w:pStyle w:val="10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10、与本次磋商有关的通讯地址：</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                                 联系人员：</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单位地址：                                 邮政编码：</w:t>
      </w:r>
      <w:r>
        <w:rPr>
          <w:rFonts w:hint="eastAsia" w:ascii="宋体" w:hAnsi="宋体" w:eastAsia="宋体" w:cs="宋体"/>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联系电话：                                 传真号码：</w:t>
      </w:r>
      <w:r>
        <w:rPr>
          <w:rFonts w:hint="eastAsia" w:ascii="宋体" w:hAnsi="宋体" w:eastAsia="宋体" w:cs="宋体"/>
          <w:color w:val="000000"/>
          <w:sz w:val="24"/>
          <w:szCs w:val="24"/>
          <w:highlight w:val="none"/>
        </w:rPr>
      </w:r>
      <w:r/>
    </w:p>
    <w:p>
      <w:pPr>
        <w:pStyle w:val="953"/>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53"/>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53"/>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29"/>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53"/>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01"/>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（采购人名称）组织实施的编号为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ascii="宋体" w:hAnsi="宋体" w:eastAsia="宋体" w:cs="宋体"/>
          <w:color w:val="000000"/>
          <w:sz w:val="24"/>
          <w:szCs w:val="24"/>
          <w:highlight w:val="none"/>
        </w:rPr>
      </w:r>
      <w:r/>
    </w:p>
    <w:p>
      <w:pPr>
        <w:pStyle w:val="1101"/>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1101"/>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101"/>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（单位盖章）：</w:t>
      </w:r>
      <w:r>
        <w:rPr>
          <w:rFonts w:hint="eastAsia" w:ascii="宋体" w:hAnsi="宋体" w:eastAsia="宋体" w:cs="宋体"/>
          <w:color w:val="000000"/>
          <w:sz w:val="24"/>
          <w:szCs w:val="24"/>
          <w:highlight w:val="none"/>
        </w:rPr>
      </w:r>
      <w:r/>
    </w:p>
    <w:p>
      <w:pPr>
        <w:pStyle w:val="10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10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rPr>
      </w:r>
      <w:r/>
    </w:p>
    <w:p>
      <w:pPr>
        <w:pStyle w:val="10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rPr>
          <w:rFonts w:hint="eastAsia" w:ascii="宋体" w:hAnsi="宋体" w:eastAsia="宋体" w:cs="宋体"/>
          <w:color w:val="000000"/>
          <w:sz w:val="24"/>
          <w:szCs w:val="24"/>
          <w:highlight w:val="none"/>
        </w:rPr>
      </w:r>
      <w:r/>
    </w:p>
    <w:p>
      <w:pPr>
        <w:pStyle w:val="929"/>
        <w:ind w:firstLine="525"/>
        <w:jc w:val="cente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注：本授权委托书仅限于法人性质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文件中必须提供法定代表人和代理人身份证复印件。非法人性质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投标，授权委托书格式自拟，但必须同时提供受托双方身份证复印件。</w:t>
      </w:r>
      <w:r>
        <w:rPr>
          <w:rFonts w:hint="eastAsia" w:ascii="宋体" w:hAnsi="宋体" w:eastAsia="宋体" w:cs="宋体"/>
          <w:b/>
          <w:color w:val="000000"/>
          <w:sz w:val="24"/>
          <w:szCs w:val="24"/>
          <w:highlight w:val="none"/>
        </w:rPr>
      </w:r>
      <w:r/>
    </w:p>
    <w:p>
      <w:pPr>
        <w:pStyle w:val="953"/>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53"/>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53"/>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3"/>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53"/>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w:t>
      </w:r>
      <w:r>
        <w:rPr>
          <w:rFonts w:hint="eastAsia" w:ascii="宋体" w:hAnsi="宋体" w:eastAsia="宋体" w:cs="宋体"/>
          <w:color w:val="000000"/>
          <w:szCs w:val="24"/>
          <w:highlight w:val="none"/>
          <w:lang w:val="en-US" w:eastAsia="zh-CN"/>
        </w:rPr>
        <w:t xml:space="preserve">项目</w:t>
      </w:r>
      <w:r>
        <w:rPr>
          <w:rFonts w:hint="eastAsia" w:ascii="宋体" w:hAnsi="宋体" w:eastAsia="宋体" w:cs="宋体"/>
          <w:color w:val="000000"/>
          <w:szCs w:val="24"/>
          <w:highlight w:val="none"/>
        </w:rPr>
        <w:t xml:space="preserve">编号为_________号的采购活动进行</w:t>
      </w:r>
      <w:r>
        <w:rPr>
          <w:rFonts w:hint="eastAsia" w:ascii="宋体" w:hAnsi="宋体" w:eastAsia="宋体" w:cs="宋体"/>
          <w:color w:val="000000"/>
          <w:szCs w:val="24"/>
          <w:highlight w:val="none"/>
          <w:lang w:val="en-US" w:eastAsia="zh-CN"/>
        </w:rPr>
        <w:t xml:space="preserve">响应</w:t>
      </w:r>
      <w:r>
        <w:rPr>
          <w:rFonts w:hint="eastAsia" w:ascii="宋体" w:hAnsi="宋体" w:eastAsia="宋体" w:cs="宋体"/>
          <w:color w:val="000000"/>
          <w:szCs w:val="24"/>
          <w:highlight w:val="none"/>
        </w:rPr>
        <w:t xml:space="preserve">。本公司所提交的商务、技术及报价文件中所有关于资格的文件、证明和陈述均是真实的、准确的和有效的。若与事实情况不符，本公司愿意承担由此而产生的一切后果。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53"/>
        <w:ind w:right="420"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53"/>
        <w:ind w:right="420" w:firstLine="480"/>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lang w:val="en-US" w:eastAsia="zh-CN"/>
        </w:rPr>
      </w:r>
      <w:r/>
    </w:p>
    <w:p>
      <w:pPr>
        <w:pStyle w:val="953"/>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53"/>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3"/>
        <w:ind w:right="420" w:firstLine="0"/>
        <w:spacing w:line="360" w:lineRule="auto"/>
        <w:rPr>
          <w:rFonts w:hint="eastAsia" w:ascii="宋体" w:hAnsi="宋体" w:eastAsia="宋体" w:cs="宋体"/>
          <w:b/>
          <w:bCs/>
          <w:color w:val="000000"/>
          <w:szCs w:val="24"/>
          <w:highlight w:val="none"/>
          <w:lang w:eastAsia="zh-CN"/>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lang w:eastAsia="zh-CN"/>
        </w:rPr>
      </w:r>
      <w:r/>
    </w:p>
    <w:p>
      <w:pPr>
        <w:pStyle w:val="929"/>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9"/>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2657" w:type="dxa"/>
            <w:vAlign w:val="center"/>
            <w:textDirection w:val="lrTb"/>
            <w:noWrap w:val="false"/>
          </w:tcPr>
          <w:p>
            <w:pPr>
              <w:pStyle w:val="929"/>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7102" w:type="dxa"/>
            <w:vAlign w:val="center"/>
            <w:textDirection w:val="lrTb"/>
            <w:noWrap w:val="false"/>
          </w:tcPr>
          <w:p>
            <w:pPr>
              <w:pStyle w:val="929"/>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优惠率（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r>
            <w:r/>
          </w:p>
        </w:tc>
      </w:tr>
      <w:tr>
        <w:trPr>
          <w:cantSplit/>
          <w:trHeight w:val="960"/>
        </w:trPr>
        <w:tc>
          <w:tcPr>
            <w:tcW w:w="2657" w:type="dxa"/>
            <w:vAlign w:val="center"/>
            <w:textDirection w:val="lrTb"/>
            <w:noWrap w:val="false"/>
          </w:tcPr>
          <w:p>
            <w:pPr>
              <w:pStyle w:val="929"/>
              <w:ind w:lef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7102" w:type="dxa"/>
            <w:vAlign w:val="center"/>
            <w:textDirection w:val="lrTb"/>
            <w:noWrap w:val="false"/>
          </w:tcPr>
          <w:p>
            <w:pPr>
              <w:pStyle w:val="929"/>
              <w:ind w:left="0" w:firstLine="16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优惠率</w:t>
            </w:r>
            <w:r>
              <w:rPr>
                <w:rFonts w:hint="eastAsia" w:ascii="宋体" w:hAnsi="宋体" w:eastAsia="宋体" w:cs="宋体"/>
                <w:color w:val="000000"/>
                <w:sz w:val="24"/>
                <w:szCs w:val="24"/>
                <w:highlight w:val="none"/>
              </w:rPr>
              <w:t xml:space="preserve">：</w:t>
            </w:r>
            <w:bookmarkStart w:id="7" w:name="JEXX"/>
            <w:r/>
            <w:bookmarkEnd w:id="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bl>
    <w:p>
      <w:pPr>
        <w:pStyle w:val="9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1"/>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供应商（单位盖章）：</w:t>
      </w:r>
      <w:r>
        <w:rPr>
          <w:rFonts w:hint="eastAsia" w:ascii="宋体" w:hAnsi="宋体" w:eastAsia="宋体" w:cs="宋体"/>
          <w:color w:val="000000"/>
          <w:sz w:val="24"/>
          <w:szCs w:val="24"/>
          <w:highlight w:val="none"/>
          <w:lang w:val="en-US" w:eastAsia="zh-CN" w:bidi="ar-SA"/>
        </w:rPr>
      </w:r>
      <w:r/>
    </w:p>
    <w:p>
      <w:pPr>
        <w:pStyle w:val="97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971"/>
        <w:ind w:firstLine="48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zh-CN" w:eastAsia="zh-CN" w:bidi="ar-SA"/>
        </w:rPr>
      </w:r>
      <w:r/>
    </w:p>
    <w:p>
      <w:pPr>
        <w:pStyle w:val="107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1"/>
        <w:numPr>
          <w:ilvl w:val="0"/>
          <w:numId w:val="0"/>
        </w:numPr>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磋商响应</w:t>
      </w:r>
      <w:r>
        <w:rPr>
          <w:rFonts w:hint="eastAsia" w:ascii="宋体" w:hAnsi="宋体" w:eastAsia="宋体" w:cs="宋体"/>
          <w:b/>
          <w:bCs/>
          <w:color w:val="000000"/>
          <w:sz w:val="24"/>
          <w:szCs w:val="24"/>
          <w:highlight w:val="none"/>
          <w:lang w:val="en-US" w:eastAsia="zh-CN"/>
        </w:rPr>
        <w:t xml:space="preserve">明细</w:t>
      </w:r>
      <w:r>
        <w:rPr>
          <w:rFonts w:hint="eastAsia" w:ascii="宋体" w:hAnsi="宋体" w:eastAsia="宋体" w:cs="宋体"/>
          <w:b/>
          <w:bCs/>
          <w:color w:val="000000"/>
          <w:sz w:val="24"/>
          <w:szCs w:val="24"/>
          <w:highlight w:val="none"/>
        </w:rPr>
        <w:t xml:space="preserve">报价表</w:t>
      </w:r>
      <w:r>
        <w:rPr>
          <w:rFonts w:hint="eastAsia" w:ascii="宋体" w:hAnsi="宋体" w:eastAsia="宋体" w:cs="宋体"/>
          <w:b/>
          <w:bCs/>
          <w:color w:val="000000"/>
          <w:sz w:val="24"/>
          <w:szCs w:val="24"/>
          <w:highlight w:val="none"/>
        </w:rPr>
      </w:r>
      <w:r/>
    </w:p>
    <w:p>
      <w:pPr>
        <w:pStyle w:val="107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w:t>
      </w:r>
      <w:r>
        <w:rPr>
          <w:rFonts w:hint="eastAsia" w:ascii="宋体" w:hAnsi="宋体" w:eastAsia="宋体" w:cs="宋体"/>
          <w:color w:val="000000"/>
          <w:sz w:val="24"/>
          <w:szCs w:val="24"/>
          <w:highlight w:val="none"/>
          <w:lang w:val="en-US" w:eastAsia="zh-CN"/>
        </w:rPr>
        <w:t xml:space="preserve">明细</w:t>
      </w:r>
      <w:r>
        <w:rPr>
          <w:rFonts w:hint="eastAsia" w:ascii="宋体" w:hAnsi="宋体" w:eastAsia="宋体" w:cs="宋体"/>
          <w:color w:val="000000"/>
          <w:sz w:val="24"/>
          <w:szCs w:val="24"/>
          <w:highlight w:val="none"/>
        </w:rPr>
        <w:t xml:space="preserve">报价表</w:t>
      </w:r>
      <w:r>
        <w:rPr>
          <w:rFonts w:hint="eastAsia" w:ascii="宋体" w:hAnsi="宋体" w:eastAsia="宋体" w:cs="宋体"/>
          <w:color w:val="000000"/>
          <w:sz w:val="24"/>
          <w:szCs w:val="24"/>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547"/>
        <w:gridCol w:w="1331"/>
        <w:gridCol w:w="3577"/>
        <w:gridCol w:w="826"/>
        <w:gridCol w:w="1060"/>
        <w:gridCol w:w="912"/>
        <w:gridCol w:w="1189"/>
      </w:tblGrid>
      <w:tr>
        <w:trPr>
          <w:trHeight w:val="711"/>
        </w:trPr>
        <w:tc>
          <w:tcPr>
            <w:shd w:val="clear" w:color="ffffff" w:fill="ffffff"/>
            <w:tcBorders>
              <w:top w:val="single" w:color="000000" w:sz="8"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计费标准</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计量单位</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8" w:space="0"/>
            </w:tcBorders>
            <w:tcMar>
              <w:left w:w="15" w:type="dxa"/>
              <w:top w:w="15" w:type="dxa"/>
              <w:right w:w="15" w:type="dxa"/>
            </w:tcMar>
            <w:tcW w:w="1060"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单价最高限价</w:t>
            </w:r>
            <w:r>
              <w:rPr>
                <w:rFonts w:hint="eastAsia" w:ascii="宋体" w:hAnsi="宋体" w:eastAsia="宋体" w:cs="宋体"/>
                <w:color w:val="000000"/>
                <w:sz w:val="24"/>
                <w:szCs w:val="24"/>
                <w:highlight w:val="none"/>
                <w:lang w:bidi="ar"/>
              </w:rPr>
              <w:t xml:space="preserve">（元）</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8" w:space="0"/>
            </w:tcBorders>
            <w:tcMar>
              <w:left w:w="15" w:type="dxa"/>
              <w:top w:w="15" w:type="dxa"/>
              <w:right w:w="15" w:type="dxa"/>
            </w:tcMar>
            <w:tcW w:w="912" w:type="dxa"/>
            <w:vAlign w:val="center"/>
            <w:textDirection w:val="lrTb"/>
            <w:noWrap w:val="false"/>
          </w:tcPr>
          <w:p>
            <w:pPr>
              <w:pStyle w:val="929"/>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优惠率</w:t>
            </w:r>
            <w:r>
              <w:rPr>
                <w:rFonts w:hint="eastAsia" w:ascii="宋体" w:hAnsi="宋体" w:eastAsia="宋体" w:cs="宋体"/>
                <w:color w:val="000000"/>
                <w:sz w:val="24"/>
                <w:szCs w:val="24"/>
                <w:highlight w:val="none"/>
                <w:lang w:bidi="ar"/>
              </w:rPr>
              <w:t xml:space="preserve">率（%）</w:t>
            </w:r>
            <w:r>
              <w:rPr>
                <w:rFonts w:ascii="宋体" w:hAnsi="宋体" w:eastAsia="宋体" w:cs="宋体"/>
                <w:color w:val="000000"/>
                <w:sz w:val="24"/>
                <w:szCs w:val="24"/>
                <w:highlight w:val="none"/>
                <w:lang w:bidi="ar"/>
              </w:rPr>
            </w:r>
            <w:r/>
          </w:p>
        </w:tc>
        <w:tc>
          <w:tcPr>
            <w:shd w:val="clear" w:color="ffffff" w:fill="ffffff"/>
            <w:tcBorders>
              <w:top w:val="single" w:color="000000" w:sz="8" w:space="0"/>
              <w:left w:val="single" w:color="000000" w:sz="4" w:space="0"/>
              <w:bottom w:val="single" w:color="000000" w:sz="4" w:space="0"/>
              <w:right w:val="single" w:color="000000" w:sz="8" w:space="0"/>
            </w:tcBorders>
            <w:tcMar>
              <w:left w:w="15" w:type="dxa"/>
              <w:top w:w="15" w:type="dxa"/>
              <w:right w:w="15" w:type="dxa"/>
            </w:tcMar>
            <w:tcW w:w="1189" w:type="dxa"/>
            <w:vAlign w:val="center"/>
            <w:textDirection w:val="lrTb"/>
            <w:noWrap w:val="false"/>
          </w:tcPr>
          <w:p>
            <w:pPr>
              <w:pStyle w:val="929"/>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优惠</w:t>
            </w:r>
            <w:r>
              <w:rPr>
                <w:rFonts w:hint="eastAsia" w:ascii="宋体" w:hAnsi="宋体" w:eastAsia="宋体" w:cs="宋体"/>
                <w:color w:val="000000"/>
                <w:sz w:val="24"/>
                <w:szCs w:val="24"/>
                <w:highlight w:val="none"/>
                <w:lang w:bidi="ar"/>
              </w:rPr>
              <w:t xml:space="preserve">后综合单价（元）</w:t>
            </w:r>
            <w:r>
              <w:rPr>
                <w:rFonts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砂轮切割机Φ350\按实际发生台班数结算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砂轮切割机Φ400\按实际发生台班数结算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59</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砂轮切割机Φ500\按实际发生台班数结算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59</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风动凿岩机手持式\按实际发生台班数结算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柴油发电机组功率30kW\含机械台班人工费\按实际发生台班数结算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940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柴油发电机组功率50kW\含机械台班人工费\按实际发生台班数结算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1495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柴油发电机组功率60kW\含机械台班人工费\按实际发生台班数结算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1524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柴油发电机组功率90kW\含机械台班人工费\按实际发生台班数结算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1967</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电锤功率520W\按实际发生台班数结算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电锤功率0.83kW\按实际发生台班数结算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电锤功率1.1kW\按实际发生台班数结算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电镐（含动力钻）\按实际发生台班数结算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454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电镐\按实际发生台班数结算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436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载货汽车装载质量20t以内\含机械台班人工费\按实际发生台班数结算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1617</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载货汽车装载质量10t以内\含机械台班人工费\按实际发生台班数结算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1272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汽车式起重机提升质量100t\含机械台班人工费\按实际发生台班数结算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7482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汽车式起重机提升质量50t\含机械台班人工费\按实际发生台班数结算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4438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汽车式起重机提升质量25t\含机械台班人工费\按实际发生台班数结算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1919</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汽车式起重机提升质量16t\含机械台班人工费\按实际发生台班数结算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1671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汽车式起重机提升质量12t\含机械台班人工费\按实际发生台班数结算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1432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单斗挖掘机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履带式单斗挖掘机(液压)斗容量1m3\含机械台班人工费\按实际发生台班数结算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2271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122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拆除高炮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高炮拆除\含立柱、广告面钢结构等\拆除物交由违建所有人\不计算回收残值\本拆除包括所有需使用的设备、机械及相应人工\费用包干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19778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微型挖机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微型挖机\含机械台班人工费\按实际发生台班数结算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1236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60型小挖</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60小挖机\含机械台班人工费\按实际发生台班数结算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1735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200大挖机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200大挖机\含机械台班人工费\按实际发生台班数结算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2271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220挖机夹钳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220挖机夹钳\含机械台班人工费\按实际发生台班数结算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2378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后八轮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后八轮\含机械台班人工费\按实际发生台班数结算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1458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15型铲车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15型铲车\含机械台班人工费\按实际发生台班数结算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994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20型铲车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20型铲车\含机械台班人工费\按实际发生台班数结算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1065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25型铲车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25型铲车\含机械台班人工费\按实际发生台班数结算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1119</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6米升降机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6米升降机\含机械台班人工费\按实际发生台班数结算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894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12米升降机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12米升降机\含机械台班人工费\按实际发生台班数结算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1192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气割、氧气加技术工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气割、氧气加技术工\含机械台班人工费\按实际发生台班数结算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595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叉车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30叉车自重5吨,最大叉重3吨\含机械台班人工费\按实际发生台班数结算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1057</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叉车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50叉车自重7~8吨,最大叉重5吨\含机械台班人工费\按实际发生台班数结算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1241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7" w:type="dxa"/>
            <w:vAlign w:val="center"/>
            <w:textDirection w:val="lrTb"/>
            <w:noWrap w:val="false"/>
          </w:tcPr>
          <w:p>
            <w:pPr>
              <w:pStyle w:val="929"/>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1" w:type="dxa"/>
            <w:vAlign w:val="center"/>
            <w:textDirection w:val="lrTb"/>
            <w:noWrap w:val="false"/>
          </w:tcPr>
          <w:p>
            <w:pPr>
              <w:pStyle w:val="929"/>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其他人工</w:t>
            </w:r>
            <w:r>
              <w:rPr>
                <w:rFonts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7"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按实际发生数结算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6" w:type="dxa"/>
            <w:vAlign w:val="center"/>
            <w:textDirection w:val="lrTb"/>
            <w:noWrap w:val="false"/>
          </w:tcPr>
          <w:p>
            <w:pPr>
              <w:pStyle w:val="929"/>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1工日</w:t>
            </w:r>
            <w:r>
              <w:rPr>
                <w:rFonts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320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2"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9"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953"/>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3"/>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3"/>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3"/>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53"/>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53"/>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53"/>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3"/>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53"/>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1、供应商</w:t>
      </w:r>
      <w:r>
        <w:rPr>
          <w:rFonts w:hint="eastAsia" w:ascii="宋体" w:hAnsi="宋体" w:eastAsia="宋体" w:cs="宋体"/>
          <w:color w:val="000000"/>
          <w:szCs w:val="24"/>
          <w:highlight w:val="none"/>
        </w:rPr>
        <w:t xml:space="preserve">须对全部采购内容进行报价。本表中</w:t>
      </w:r>
      <w:r>
        <w:rPr>
          <w:rFonts w:hint="eastAsia" w:ascii="宋体" w:hAnsi="宋体" w:eastAsia="宋体" w:cs="宋体"/>
          <w:color w:val="000000"/>
          <w:szCs w:val="24"/>
          <w:highlight w:val="none"/>
          <w:lang w:val="en-US" w:eastAsia="zh-CN"/>
        </w:rPr>
        <w:t xml:space="preserve">优惠率应</w:t>
      </w:r>
      <w:r>
        <w:rPr>
          <w:rFonts w:hint="eastAsia" w:ascii="宋体" w:hAnsi="宋体" w:eastAsia="宋体" w:cs="宋体"/>
          <w:color w:val="000000"/>
          <w:szCs w:val="24"/>
          <w:highlight w:val="none"/>
        </w:rPr>
        <w:t xml:space="preserve">与“开标一览表”</w:t>
      </w:r>
      <w:r>
        <w:rPr>
          <w:rFonts w:hint="eastAsia" w:ascii="宋体" w:hAnsi="宋体" w:eastAsia="宋体" w:cs="宋体"/>
          <w:color w:val="000000"/>
          <w:szCs w:val="24"/>
          <w:highlight w:val="none"/>
          <w:lang w:val="en-US" w:eastAsia="zh-CN"/>
        </w:rPr>
        <w:t xml:space="preserve">优惠率</w:t>
      </w:r>
      <w:r>
        <w:rPr>
          <w:rFonts w:hint="eastAsia" w:ascii="宋体" w:hAnsi="宋体" w:eastAsia="宋体" w:cs="宋体"/>
          <w:color w:val="000000"/>
          <w:szCs w:val="24"/>
          <w:highlight w:val="none"/>
        </w:rPr>
        <w:t xml:space="preserve">一致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否则，以《开标一览表》为准。</w:t>
      </w:r>
      <w:r>
        <w:rPr>
          <w:rFonts w:hint="eastAsia" w:ascii="宋体" w:hAnsi="宋体" w:eastAsia="宋体" w:cs="宋体"/>
          <w:color w:val="000000"/>
          <w:szCs w:val="24"/>
          <w:highlight w:val="none"/>
        </w:rPr>
      </w:r>
      <w:r/>
    </w:p>
    <w:p>
      <w:pPr>
        <w:pStyle w:val="953"/>
        <w:ind w:left="0" w:right="118" w:firstLine="480"/>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2、本次报价报的是统一优惠率，各响应单位按照优惠率报价，响应报价须根据“磋商响应明细报价表”中的“单价最高限价”基础上统一报优惠率（例如：优惠率为10%，则表示：</w:t>
      </w:r>
      <w:r>
        <w:rPr>
          <w:rFonts w:hint="eastAsia" w:ascii="宋体" w:hAnsi="宋体" w:eastAsia="宋体" w:cs="宋体"/>
          <w:color w:val="000000"/>
          <w:sz w:val="24"/>
          <w:szCs w:val="24"/>
          <w:highlight w:val="none"/>
          <w:lang w:val="en-US" w:eastAsia="zh-CN" w:bidi="ar"/>
        </w:rPr>
        <w:t xml:space="preserve">优惠</w:t>
      </w:r>
      <w:r>
        <w:rPr>
          <w:rFonts w:hint="eastAsia" w:ascii="宋体" w:hAnsi="宋体" w:eastAsia="宋体" w:cs="宋体"/>
          <w:color w:val="000000"/>
          <w:sz w:val="24"/>
          <w:szCs w:val="24"/>
          <w:highlight w:val="none"/>
          <w:lang w:bidi="ar"/>
        </w:rPr>
        <w:t xml:space="preserve">后综合单价</w:t>
      </w:r>
      <w:r>
        <w:rPr>
          <w:rFonts w:hint="eastAsia" w:ascii="宋体" w:hAnsi="宋体" w:eastAsia="宋体" w:cs="宋体"/>
          <w:color w:val="000000"/>
          <w:szCs w:val="24"/>
          <w:highlight w:val="none"/>
          <w:lang w:val="en-US" w:eastAsia="zh-CN"/>
        </w:rPr>
        <w:t xml:space="preserve">=单价最高限价×（1-10%））。</w:t>
      </w:r>
      <w:r>
        <w:rPr>
          <w:rFonts w:hint="eastAsia" w:ascii="宋体" w:hAnsi="宋体" w:eastAsia="宋体" w:cs="宋体"/>
          <w:color w:val="000000"/>
          <w:szCs w:val="24"/>
          <w:highlight w:val="none"/>
          <w:lang w:val="en-US" w:eastAsia="zh-CN"/>
        </w:rPr>
      </w:r>
      <w:r/>
    </w:p>
    <w:p>
      <w:pPr>
        <w:pStyle w:val="109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2、供应商所报优惠率高，则表示对应的响应报价越低，价格得分则越高。</w:t>
      </w:r>
      <w:r>
        <w:rPr>
          <w:rFonts w:hint="eastAsia" w:ascii="宋体" w:hAnsi="宋体" w:eastAsia="宋体" w:cs="宋体"/>
          <w:color w:val="000000"/>
          <w:sz w:val="24"/>
          <w:szCs w:val="24"/>
          <w:highlight w:val="none"/>
          <w:lang w:val="en-US" w:eastAsia="zh-CN"/>
        </w:rPr>
      </w:r>
      <w:r/>
    </w:p>
    <w:p>
      <w:pPr>
        <w:pStyle w:val="971"/>
        <w:numPr>
          <w:ilvl w:val="0"/>
          <w:numId w:val="0"/>
        </w:numPr>
        <w:jc w:val="left"/>
        <w:spacing w:line="360" w:lineRule="auto"/>
        <w:rPr>
          <w:rFonts w:hint="eastAsia" w:ascii="宋体" w:hAnsi="宋体" w:eastAsia="宋体" w:cs="宋体"/>
          <w:b/>
          <w:bCs/>
          <w:color w:val="000000"/>
          <w:sz w:val="24"/>
          <w:szCs w:val="24"/>
          <w:highlight w:val="none"/>
          <w:lang w:val="en-US" w:eastAsia="zh-CN" w:bidi="ar-SA"/>
        </w:rPr>
        <w:sectPr>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highlight w:val="none"/>
          <w:lang w:val="en-US" w:eastAsia="zh-CN" w:bidi="ar-SA"/>
        </w:rPr>
      </w:r>
      <w:r/>
    </w:p>
    <w:p>
      <w:pPr>
        <w:pStyle w:val="971"/>
        <w:jc w:val="left"/>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zh-CN"/>
        </w:rPr>
        <w:t xml:space="preserve">、中小企业声明函</w:t>
      </w:r>
      <w:r>
        <w:rPr>
          <w:rFonts w:hint="eastAsia" w:ascii="宋体" w:hAnsi="宋体" w:eastAsia="宋体" w:cs="宋体"/>
          <w:b/>
          <w:bCs w:val="0"/>
          <w:color w:val="000000"/>
          <w:sz w:val="24"/>
          <w:szCs w:val="24"/>
          <w:highlight w:val="none"/>
          <w:lang w:val="zh-CN"/>
        </w:rPr>
      </w:r>
      <w:r/>
    </w:p>
    <w:p>
      <w:pPr>
        <w:pStyle w:val="929"/>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9"/>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9"/>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929"/>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929"/>
        <w:ind w:firstLine="49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929"/>
        <w:ind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r>
      <w:r/>
    </w:p>
    <w:p>
      <w:pPr>
        <w:pStyle w:val="929"/>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29"/>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5、成交供应商为中小企业的，《中小企业声明函》将随成交结果同时公告。</w:t>
      </w: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29"/>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29"/>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3"/>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53"/>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53"/>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2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苏州市吴中区木渎镇人民政府（苏州市吴中区木渎镇综合行政执法和安全生产监督管理办公室）</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2026年木渎镇违法建设及户外广告拆除服务项目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一、项目编号：JSZC-320506-SZZJ-C2025-0056号。</w:t>
      </w:r>
      <w:r>
        <w:rPr>
          <w:rFonts w:hint="eastAsia" w:ascii="宋体" w:hAnsi="宋体" w:eastAsia="宋体" w:cs="宋体"/>
          <w:b/>
          <w:bCs/>
          <w:color w:val="000000"/>
          <w:sz w:val="24"/>
          <w:szCs w:val="24"/>
          <w:highlight w:val="none"/>
          <w:lang w:val="en-US" w:eastAsia="zh-CN"/>
        </w:rPr>
      </w:r>
      <w:r/>
    </w:p>
    <w:p>
      <w:pPr>
        <w:pStyle w:val="929"/>
        <w:ind w:firstLine="47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二、采购需求：</w:t>
      </w:r>
      <w:bookmarkEnd w:id="8"/>
      <w:r>
        <w:rPr>
          <w:rFonts w:hint="eastAsia" w:ascii="宋体" w:hAnsi="宋体" w:eastAsia="宋体" w:cs="宋体"/>
          <w:b/>
          <w:bCs/>
          <w:color w:val="000000"/>
          <w:sz w:val="24"/>
          <w:szCs w:val="24"/>
          <w:highlight w:val="none"/>
          <w:lang w:val="en-US" w:eastAsia="zh-CN"/>
        </w:rPr>
      </w:r>
      <w:r/>
    </w:p>
    <w:p>
      <w:pPr>
        <w:pStyle w:val="9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bCs/>
          <w:color w:val="000000"/>
          <w:sz w:val="24"/>
          <w:szCs w:val="24"/>
          <w:highlight w:val="none"/>
        </w:rPr>
        <w:t xml:space="preserve">服务范围</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服务为整个木渎镇范围内的各种违法建设与违法广告的拆除。根据平时的统计和勘察情况，木渎区域内存在各种零星的有安全隐患的违法建设与违法广告。针对本片区内的违法建设和违法广告，需要及时进行拆除整治，作业人员需在1小时内到位。</w:t>
      </w:r>
      <w:r>
        <w:rPr>
          <w:rFonts w:hint="eastAsia" w:ascii="宋体" w:hAnsi="宋体" w:eastAsia="宋体"/>
          <w:bCs/>
          <w:color w:val="000000"/>
          <w:sz w:val="24"/>
          <w:szCs w:val="24"/>
          <w:highlight w:val="none"/>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bCs/>
          <w:color w:val="000000"/>
          <w:sz w:val="24"/>
          <w:szCs w:val="24"/>
          <w:highlight w:val="none"/>
        </w:rPr>
        <w:t xml:space="preserve">工作内容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1、拆除各企业、单位私自搭设的违法建设及户外广告牌；</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2、拆除之废料（钢废料）吊运至地面集中堆放，由各企业、单位自行处理；</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3、屋顶拆除之建筑垃圾吊运至地面集中堆放，并将屋顶清扫干净；建筑垃圾由各企业、单位自行处理，堆放于指定堆放点。</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4、由企业、单位私自在围墙开设的门洞、出入口进行砖砌封堵，恢复原样。</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5、原绿化带被企业拆除硬化的，拆除硬化地面，由各企业、单位自行恢复绿化。</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（三）现场服务人员：男性，60周岁及以下，具体按拆除规模定，至少需包括：项目负责人、施工员、安全员、质量员、材料员、资料员。</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（四）响应单位需具有服务所需的相关设备：具体按拆除规模定，包括但不限于：小型发电机、电镐、切割机、</w:t>
      </w:r>
      <w:r>
        <w:rPr>
          <w:rFonts w:hint="eastAsia" w:ascii="宋体" w:hAnsi="宋体" w:eastAsia="宋体"/>
          <w:color w:val="000000"/>
          <w:sz w:val="24"/>
          <w:szCs w:val="24"/>
          <w:highlight w:val="none"/>
        </w:rPr>
        <w:t xml:space="preserve">手电钻、</w:t>
      </w:r>
      <w:r>
        <w:rPr>
          <w:rFonts w:hint="eastAsia" w:ascii="宋体" w:hAnsi="宋体" w:eastAsia="宋体"/>
          <w:bCs/>
          <w:color w:val="000000"/>
          <w:sz w:val="24"/>
          <w:szCs w:val="24"/>
          <w:highlight w:val="none"/>
        </w:rPr>
        <w:t xml:space="preserve">电锤。</w:t>
      </w:r>
      <w:r>
        <w:rPr>
          <w:rFonts w:hint="eastAsia" w:ascii="宋体" w:hAnsi="宋体" w:eastAsia="宋体"/>
          <w:color w:val="000000"/>
          <w:sz w:val="24"/>
          <w:szCs w:val="24"/>
          <w:highlight w:val="none"/>
        </w:rPr>
        <w:t xml:space="preserve">根据现场在实际过程中所需的其他相关设备，包括卡车、吊车等均由成交单位自行提供。</w:t>
      </w:r>
      <w:r>
        <w:rPr>
          <w:rFonts w:hint="eastAsia" w:ascii="宋体" w:hAnsi="宋体" w:eastAsia="宋体"/>
          <w:color w:val="000000"/>
          <w:sz w:val="24"/>
          <w:szCs w:val="24"/>
          <w:highlight w:val="none"/>
        </w:rPr>
      </w:r>
      <w:r/>
    </w:p>
    <w:p>
      <w:pPr>
        <w:pStyle w:val="929"/>
        <w:ind w:firstLine="480"/>
        <w:spacing w:line="360" w:lineRule="auto"/>
        <w:rPr>
          <w:rFonts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（五）计费标准：根据项目实际工作量计费结算</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最终结算总金额不超过130万。</w:t>
      </w:r>
      <w:r>
        <w:rPr>
          <w:rFonts w:ascii="宋体" w:hAnsi="宋体" w:eastAsia="宋体"/>
          <w:bCs/>
          <w:color w:val="000000"/>
          <w:sz w:val="24"/>
          <w:szCs w:val="24"/>
          <w:highlight w:val="none"/>
          <w:lang w:val="en-US"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703"/>
        <w:gridCol w:w="1589"/>
        <w:gridCol w:w="4723"/>
        <w:gridCol w:w="1063"/>
        <w:gridCol w:w="1364"/>
      </w:tblGrid>
      <w:tr>
        <w:trPr>
          <w:trHeight w:val="589"/>
        </w:trPr>
        <w:tc>
          <w:tcPr>
            <w:shd w:val="clear" w:color="ffffff" w:fill="ffffff"/>
            <w:tcBorders>
              <w:top w:val="single" w:color="000000" w:sz="8"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ind w:firstLine="480"/>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计费标准</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计量单位</w:t>
            </w:r>
            <w:r>
              <w:rPr>
                <w:rFonts w:hint="eastAsia" w:ascii="宋体" w:hAnsi="宋体" w:eastAsia="宋体" w:cs="宋体"/>
                <w:color w:val="000000"/>
                <w:sz w:val="24"/>
                <w:szCs w:val="24"/>
                <w:highlight w:val="none"/>
              </w:rPr>
            </w:r>
            <w:r/>
          </w:p>
        </w:tc>
        <w:tc>
          <w:tcPr>
            <w:shd w:val="clear" w:color="ffffff" w:fill="ffffff"/>
            <w:tcBorders>
              <w:top w:val="single" w:color="000000" w:sz="8" w:space="0"/>
              <w:left w:val="single" w:color="000000" w:sz="4" w:space="0"/>
              <w:bottom w:val="single" w:color="000000" w:sz="4" w:space="0"/>
              <w:right w:val="single" w:color="000000" w:sz="8" w:space="0"/>
            </w:tcBorders>
            <w:tcMar>
              <w:left w:w="15" w:type="dxa"/>
              <w:top w:w="15" w:type="dxa"/>
              <w:right w:w="15" w:type="dxa"/>
            </w:tcMar>
            <w:tcW w:w="1364" w:type="dxa"/>
            <w:vAlign w:val="center"/>
            <w:textDirection w:val="lrTb"/>
            <w:noWrap w:val="false"/>
          </w:tcPr>
          <w:p>
            <w:pPr>
              <w:pStyle w:val="929"/>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单价最高限价</w:t>
            </w:r>
            <w:r>
              <w:rPr>
                <w:rFonts w:hint="eastAsia" w:ascii="宋体" w:hAnsi="宋体" w:eastAsia="宋体" w:cs="宋体"/>
                <w:color w:val="000000"/>
                <w:sz w:val="24"/>
                <w:szCs w:val="24"/>
                <w:highlight w:val="none"/>
                <w:lang w:bidi="ar"/>
              </w:rPr>
              <w:t xml:space="preserve">（元）</w:t>
            </w:r>
            <w:r>
              <w:rPr>
                <w:rFonts w:hint="eastAsia" w:ascii="宋体" w:hAnsi="宋体" w:eastAsia="宋体" w:cs="宋体"/>
                <w:color w:val="000000"/>
                <w:sz w:val="24"/>
                <w:szCs w:val="24"/>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砂轮切割机Φ350\按实际发生台班数结算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26</w:t>
            </w:r>
            <w:r>
              <w:rPr>
                <w:color w:val="000000"/>
                <w:highlight w:val="none"/>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砂轮切割机Φ400\按实际发生台班数结算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59</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砂轮切割机Φ500\按实际发生台班数结算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59</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风动凿岩机手持式\按实际发生台班数结算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15</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柴油发电机组功率30kW\含机械台班人工费\按实际发生台班数结算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940</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柴油发电机组功率50kW\含机械台班人工费\按实际发生台班数结算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1495</w:t>
            </w:r>
            <w:r>
              <w:rPr>
                <w:color w:val="000000"/>
                <w:highlight w:val="none"/>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柴油发电机组功率60kW\含机械台班人工费\按实际发生台班数结算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1524</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柴油发电机组功率90kW\含机械台班人工费\按实际发生台班数结算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1967</w:t>
            </w:r>
            <w:r>
              <w:rPr>
                <w:color w:val="000000"/>
                <w:highlight w:val="none"/>
              </w:rPr>
            </w:r>
            <w:r/>
          </w:p>
        </w:tc>
      </w:tr>
      <w:tr>
        <w:trPr>
          <w:trHeight w:val="27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电锤功率520W\按实际发生台班数结算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w:t>
            </w:r>
            <w:r>
              <w:rPr>
                <w:color w:val="000000"/>
                <w:highlight w:val="none"/>
              </w:rPr>
            </w:r>
            <w:r/>
          </w:p>
        </w:tc>
      </w:tr>
      <w:tr>
        <w:trPr>
          <w:trHeight w:val="39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电锤功率0.83kW\按实际发生台班数结算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16</w:t>
            </w:r>
            <w:r>
              <w:rPr>
                <w:color w:val="000000"/>
                <w:highlight w:val="none"/>
              </w:rPr>
            </w:r>
            <w:r/>
          </w:p>
        </w:tc>
      </w:tr>
      <w:tr>
        <w:trPr>
          <w:trHeight w:val="40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电锤功率1.1kW\按实际发生台班数结算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18</w:t>
            </w:r>
            <w:r>
              <w:rPr>
                <w:color w:val="000000"/>
                <w:highlight w:val="none"/>
              </w:rPr>
            </w:r>
            <w:r/>
          </w:p>
        </w:tc>
      </w:tr>
      <w:tr>
        <w:trPr>
          <w:trHeight w:val="26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电镐（含动力钻）\按实际发生台班数结算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454</w:t>
            </w:r>
            <w:r>
              <w:rPr>
                <w:color w:val="000000"/>
                <w:highlight w:val="none"/>
              </w:rPr>
            </w:r>
            <w:r/>
          </w:p>
        </w:tc>
      </w:tr>
      <w:tr>
        <w:trPr>
          <w:trHeight w:val="3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ind w:firstLine="480"/>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电镐\按实际发生台班数结算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436</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载货汽车装载质量20t以内\含机械台班人工费\按实际发生台班数结算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1617</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载货汽车装载质量10t以内\含机械台班人工费\按实际发生台班数结算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1272</w:t>
            </w:r>
            <w:r>
              <w:rPr>
                <w:color w:val="000000"/>
                <w:highlight w:val="none"/>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汽车式起重机提升质量100t\含机械台班人工费\按实际发生台班数结算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7482</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汽车式起重机提升质量50t\含机械台班人工费\按实际发生台班数结算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4438</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汽车式起重机提升质量25t\含机械台班人工费\按实际发生台班数结算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1919</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汽车式起重机提升质量16t\含机械台班人工费\按实际发生台班数结算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1671</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汽车式起重机提升质量12t\含机械台班人工费\按实际发生台班数结算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1432</w:t>
            </w:r>
            <w:r>
              <w:rPr>
                <w:color w:val="000000"/>
                <w:highlight w:val="none"/>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单斗挖掘机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履带式单斗挖掘机(液压)斗容量1m3\含机械台班人工费\按实际发生台班数结算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2271</w:t>
            </w:r>
            <w:r>
              <w:rPr>
                <w:color w:val="000000"/>
                <w:highlight w:val="none"/>
              </w:rPr>
            </w:r>
            <w:r/>
          </w:p>
        </w:tc>
      </w:tr>
      <w:tr>
        <w:trPr>
          <w:trHeight w:val="122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拆除高炮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高炮拆除\含立柱、广告面钢结构等\拆除物交由违建所有人\不计算回收残值\本拆除包括所有需使用的设备、机械及相应人工\费用包干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19778</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微型挖机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微型挖机\含机械台班人工费\按实际发生台班数结算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1236</w:t>
            </w:r>
            <w:r>
              <w:rPr>
                <w:color w:val="000000"/>
                <w:highlight w:val="none"/>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60型小挖</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60小挖机\含机械台班人工费\按实际发生台班数结算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1735</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200大挖机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200大挖机\含机械台班人工费\按实际发生台班数结算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2271</w:t>
            </w:r>
            <w:r>
              <w:rPr>
                <w:color w:val="000000"/>
                <w:highlight w:val="none"/>
              </w:rPr>
            </w:r>
            <w:r/>
          </w:p>
        </w:tc>
      </w:tr>
      <w:tr>
        <w:trPr>
          <w:trHeight w:val="51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220挖机夹钳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220挖机夹钳\含机械台班人工费\按实际发生台班数结算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2378</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后八轮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后八轮\含机械台班人工费\按实际发生台班数结算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1458</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15型铲车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15型铲车\含机械台班人工费\按实际发生台班数结算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994</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20型铲车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20型铲车\含机械台班人工费\按实际发生台班数结算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1065</w:t>
            </w:r>
            <w:r>
              <w:rPr>
                <w:color w:val="000000"/>
                <w:highlight w:val="none"/>
              </w:rPr>
            </w:r>
            <w:r/>
          </w:p>
        </w:tc>
      </w:tr>
      <w:tr>
        <w:trPr>
          <w:trHeight w:val="41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25型铲车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25型铲车\含机械台班人工费\按实际发生台班数结算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1119</w:t>
            </w:r>
            <w:r>
              <w:rPr>
                <w:color w:val="000000"/>
                <w:highlight w:val="none"/>
              </w:rPr>
            </w:r>
            <w:r/>
          </w:p>
        </w:tc>
      </w:tr>
      <w:tr>
        <w:trPr>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6米升降机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6米升降机\含机械台班人工费\按实际发生台班数结算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894</w:t>
            </w:r>
            <w:r>
              <w:rPr>
                <w:color w:val="000000"/>
                <w:highlight w:val="none"/>
              </w:rPr>
            </w:r>
            <w:r/>
          </w:p>
        </w:tc>
      </w:tr>
      <w:tr>
        <w:trPr>
          <w:trHeight w:val="39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12米升降机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12米升降机\含机械台班人工费\按实际发生台班数结算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1192</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气割、氧气加技术工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气割、氧气加技术工\含机械台班人工费\按实际发生台班数结算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595</w:t>
            </w:r>
            <w:r>
              <w:rPr>
                <w:color w:val="000000"/>
                <w:highlight w:val="none"/>
              </w:rPr>
            </w:r>
            <w:r/>
          </w:p>
        </w:tc>
      </w:tr>
      <w:tr>
        <w:trPr>
          <w:trHeight w:val="75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叉车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30叉车自重5吨,最大叉重3吨\含机械台班人工费\按实际发生台班数结算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1057</w:t>
            </w:r>
            <w:r>
              <w:rPr>
                <w:color w:val="000000"/>
                <w:highlight w:val="none"/>
              </w:rPr>
            </w:r>
            <w:r/>
          </w:p>
        </w:tc>
      </w:tr>
      <w:tr>
        <w:trPr>
          <w:trHeight w:val="73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叉车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50叉车自重7~8吨,最大叉重5吨\含机械台班人工费\按实际发生台班数结算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1241</w:t>
            </w:r>
            <w:r>
              <w:rPr>
                <w:color w:val="000000"/>
                <w:highlight w:val="none"/>
              </w:rPr>
            </w:r>
            <w:r/>
          </w:p>
        </w:tc>
      </w:tr>
      <w:tr>
        <w:trPr>
          <w:trHeight w:val="52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703" w:type="dxa"/>
            <w:vAlign w:val="center"/>
            <w:textDirection w:val="lrTb"/>
            <w:noWrap w:val="false"/>
          </w:tcPr>
          <w:p>
            <w:pPr>
              <w:pStyle w:val="929"/>
              <w:jc w:val="center"/>
              <w:spacing w:line="380" w:lineRule="exac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9" w:type="dxa"/>
            <w:vAlign w:val="center"/>
            <w:textDirection w:val="lrTb"/>
            <w:noWrap w:val="false"/>
          </w:tcPr>
          <w:p>
            <w:pPr>
              <w:pStyle w:val="929"/>
              <w:jc w:val="center"/>
              <w:spacing w:line="380" w:lineRule="exac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其他人工</w:t>
            </w:r>
            <w:r>
              <w:rPr>
                <w:rFonts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3" w:type="dxa"/>
            <w:vAlign w:val="center"/>
            <w:textDirection w:val="lrTb"/>
            <w:noWrap w:val="false"/>
          </w:tcPr>
          <w:p>
            <w:pPr>
              <w:pStyle w:val="929"/>
              <w:jc w:val="center"/>
              <w:spacing w:line="38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按实际发生数结算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929"/>
              <w:jc w:val="center"/>
              <w:spacing w:line="380" w:lineRule="exac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1工日</w:t>
            </w:r>
            <w:r>
              <w:rPr>
                <w:rFonts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4" w:type="dxa"/>
            <w:vAlign w:val="center"/>
            <w:textDirection w:val="lrTb"/>
            <w:noWrap w:val="false"/>
          </w:tcPr>
          <w:p>
            <w:pPr>
              <w:pStyle w:val="1124"/>
              <w:jc w:val="center"/>
              <w:spacing w:before="0" w:beforeAutospacing="0" w:after="0" w:afterAutospacing="0"/>
              <w:rPr>
                <w:color w:val="000000"/>
                <w:highlight w:val="none"/>
              </w:rPr>
            </w:pPr>
            <w:r>
              <w:rPr>
                <w:rFonts w:hint="eastAsia"/>
                <w:color w:val="000000"/>
                <w:highlight w:val="none"/>
              </w:rPr>
              <w:t xml:space="preserve">320</w:t>
            </w:r>
            <w:r>
              <w:rPr>
                <w:color w:val="000000"/>
                <w:highlight w:val="none"/>
              </w:rPr>
            </w:r>
            <w:r/>
          </w:p>
        </w:tc>
      </w:tr>
    </w:tbl>
    <w:p>
      <w:pPr>
        <w:pStyle w:val="1125"/>
        <w:rPr>
          <w:rFonts w:hint="eastAsia" w:ascii="宋体"/>
          <w:bCs/>
          <w:color w:val="000000"/>
          <w:sz w:val="24"/>
          <w:szCs w:val="24"/>
          <w:highlight w:val="none"/>
        </w:rPr>
      </w:pPr>
      <w:r>
        <w:rPr>
          <w:rFonts w:hint="eastAsia" w:ascii="宋体"/>
          <w:bCs/>
          <w:color w:val="000000"/>
          <w:sz w:val="24"/>
          <w:szCs w:val="24"/>
          <w:highlight w:val="none"/>
        </w:rPr>
        <w:t xml:space="preserve">（六）服务期限：一年（具体时间以采购单位通知为准）</w:t>
      </w:r>
      <w:r>
        <w:rPr>
          <w:rFonts w:hint="eastAsia" w:ascii="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（七）项目要求</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1、供应商须根据从业经验对所涉及服务区域内使用大型作业车辆、工具及设备的情况做合理估算，并含在报价中。</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2、因成交单位操作不当而造成的工作范围内的设施、设备等损坏的，由成交单位赔偿。</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3、签订采购合同的同时，采购单位及成交单位双方签订安全责任协议书。成交单位派遣人员应遵守安全规章，如派遣人员发生安全事故，由成交单位负全职。</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4、本次采购的户外广告拆除服务中，拆除的材料所有权归采购单位。</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（八）施工要求</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1、施工人员对现场进行实际勘察，确定拆除措施、采用需要机械及劳动力，围挡范围，拉警禁线。</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2、拆除时需配专职人员对拆除范围的人员流动进行疏导。</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3、编制拆除相关方案上报甲方审批，审批合格后，对具体操作人员进行交底，编排施工计划。</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针对困难拆除（高楼楼顶、高楼楼面、高炮作业等）有详细的施工方案、施工计划与施工流程，要确保有高空作业经验的专业人员，到场后施工人员须有安全意识，配合相关个人与单位的协调施工；需要高空施工吊车时，进场后四周用警用隔离布条隔离现场保持安全施工区域，以防高空坠物。现场随时检查施工人员登高作业是否系安全带。</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5、工作时间：根据实际情况安排。</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6、工作范围：苏州吴中区木渎镇范围（具体根据甲方指定范围指定地点）。</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（九）技术要求：</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1、文明执法；拆除违法户外广告等服务时文明施工；着装整齐、反应迅速，派出人员具备水电、泥瓦、封堵等相关专业技术能力。所有流程都需符合</w:t>
      </w:r>
      <w:r>
        <w:rPr>
          <w:rFonts w:hint="eastAsia" w:ascii="宋体" w:hAnsi="宋体" w:eastAsia="宋体"/>
          <w:bCs/>
          <w:color w:val="000000"/>
          <w:sz w:val="24"/>
          <w:szCs w:val="24"/>
          <w:highlight w:val="none"/>
        </w:rPr>
        <w:t xml:space="preserve">DGJ08-70-2013 </w:t>
      </w:r>
      <w:r>
        <w:rPr>
          <w:rFonts w:hint="eastAsia" w:ascii="宋体" w:hAnsi="宋体" w:eastAsia="宋体"/>
          <w:color w:val="000000"/>
          <w:sz w:val="24"/>
          <w:szCs w:val="24"/>
          <w:highlight w:val="none"/>
        </w:rPr>
        <w:t xml:space="preserve">JGJ147-2016</w:t>
      </w:r>
      <w:r>
        <w:rPr>
          <w:rFonts w:hint="eastAsia" w:ascii="宋体" w:hAnsi="宋体" w:eastAsia="宋体"/>
          <w:bCs/>
          <w:color w:val="000000"/>
          <w:sz w:val="24"/>
          <w:szCs w:val="24"/>
          <w:highlight w:val="none"/>
        </w:rPr>
        <w:t xml:space="preserve">建筑物、构筑物拆除规程标准。</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2、高炮广告等大型带基础广告在拆除后需对地面进行一定的恢复。</w:t>
      </w:r>
      <w:r>
        <w:rPr>
          <w:rFonts w:hint="eastAsia" w:ascii="宋体" w:hAnsi="宋体" w:eastAsia="宋体"/>
          <w:color w:val="000000"/>
          <w:sz w:val="24"/>
          <w:szCs w:val="24"/>
          <w:highlight w:val="none"/>
        </w:rPr>
        <w:t xml:space="preserve">拆除后的垃圾处置，需要得到产权人的确认，如产权人确认不需要，则需依法依规处置。</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（十）人员和设备采购要求：</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1、接到联系电话后应做好一切准备工作并在一小时内到达现场。</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2、具备调配大面积拆违任务所需人员、车辆的能力。</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3、如需使用车辆的，应保证车况良好。</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4、成交单位派出的人员，应服从采购单位工作人员的安排。因事、因病或其它原因缺勤的，提前汇报采购单位，并由成交单位负责调配补充，采购单位不再承担此项费用。</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5、成交单位所派出的人员，应该由成交单位缴纳社保，并购置足额的意外伤害保险，如发生意外伤害事故，则由成交单位负责赔偿，采购单位不承担费用。</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（十一）文明施工措施</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1、严格遵守当地的环保制度，控制施工污染，减少粉尘及噪音污染，保持生态平衡。</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2、尽量减少施工临时用地面积，注意环境保护及美化。</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3、成交单位拆除违法广告服务产生的垃圾的处理必须符合法律法规及相关部门的规定，运输至合法的建筑垃圾堆放点，不得随意处理。</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安全措施：成交单位必须为本项目施工服务人员缴纳一定的保险，因成交单位未给本项目施工服务人员缴纳保险及项目实施工作中违反操作规程所发生的设备、人员事故，造成的一切后果均由成交单位负责承担。采购单位不承担任何相关责任。</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（十二）保留设施保护措施</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1、对于回收材料及设备，指定地点停放，并派专人看管等待处理。</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2、对于保留的设施采用必要的防护（放置规定的房间内上锁），保证其在拆除施工过程中不受损坏。</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3、拆除施工确保不破坏原结构墙体，不破坏钢筋混凝土。</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（十四）编制依据</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1、《中华人民共和国环境保护法》；</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2、《建筑施工安全检查标准》JGJ59—99；</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3、《中华人民共和国安全生产法》；</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4、《建设工程安全生产管理条例》；</w:t>
      </w:r>
      <w:r>
        <w:rPr>
          <w:rFonts w:hint="eastAsia" w:ascii="宋体" w:hAnsi="宋体" w:eastAsia="宋体"/>
          <w:color w:val="000000"/>
          <w:sz w:val="24"/>
          <w:szCs w:val="24"/>
          <w:highlight w:val="none"/>
        </w:rPr>
      </w:r>
      <w:r/>
    </w:p>
    <w:p>
      <w:pPr>
        <w:pStyle w:val="929"/>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olor w:val="000000"/>
          <w:sz w:val="24"/>
          <w:szCs w:val="24"/>
          <w:highlight w:val="none"/>
        </w:rPr>
        <w:t xml:space="preserve">5、《建筑拆除工程安全技术规范》JGJ147-2004。</w:t>
      </w:r>
      <w:r>
        <w:rPr>
          <w:rFonts w:hint="eastAsia" w:ascii="宋体" w:hAnsi="宋体" w:eastAsia="宋体" w:cs="宋体"/>
          <w:b/>
          <w:bCs w:val="0"/>
          <w:color w:val="000000"/>
          <w:sz w:val="24"/>
          <w:szCs w:val="24"/>
          <w:highlight w:val="none"/>
          <w:lang w:val="en-US" w:eastAsia="zh-CN"/>
        </w:rPr>
      </w:r>
      <w:r/>
    </w:p>
    <w:p>
      <w:pPr>
        <w:pStyle w:val="929"/>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三、综合</w:t>
      </w:r>
      <w:r>
        <w:rPr>
          <w:rFonts w:hint="eastAsia" w:ascii="宋体" w:hAnsi="宋体" w:eastAsia="宋体" w:cs="宋体"/>
          <w:b/>
          <w:bCs w:val="0"/>
          <w:color w:val="000000"/>
          <w:sz w:val="24"/>
          <w:szCs w:val="24"/>
          <w:highlight w:val="none"/>
          <w:lang w:val="en-US" w:eastAsia="zh-CN"/>
        </w:rPr>
        <w:t xml:space="preserve">说明</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929"/>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所提供的相关</w:t>
      </w:r>
      <w:r>
        <w:rPr>
          <w:rFonts w:hint="eastAsia" w:ascii="宋体" w:hAnsi="宋体" w:eastAsia="宋体" w:cs="宋体"/>
          <w:color w:val="000000"/>
          <w:sz w:val="24"/>
          <w:szCs w:val="24"/>
          <w:highlight w:val="none"/>
          <w:lang w:val="en-US" w:eastAsia="zh-CN"/>
        </w:rPr>
        <w:t xml:space="preserve">货物或</w:t>
      </w:r>
      <w:r>
        <w:rPr>
          <w:rFonts w:hint="eastAsia" w:ascii="宋体" w:hAnsi="宋体" w:eastAsia="宋体" w:cs="宋体"/>
          <w:color w:val="000000"/>
          <w:sz w:val="24"/>
          <w:szCs w:val="24"/>
          <w:highlight w:val="none"/>
        </w:rPr>
        <w:t xml:space="preserve">服务应符合国家有关标准和规范，并遵循</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文件的要求，应达到或优于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要求，并提供详细说明。若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要求中涉及品牌或品牌导向，则仅作参考。</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文件必须如实进行实质性响应，量化指标必须列明具体数值。</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在其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文件中对于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文件已提供以及未提供的货物或服务情况均须进行完整的阐述和说明，否则其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文件将有被拒绝的可能。</w:t>
      </w:r>
      <w:r>
        <w:rPr>
          <w:rFonts w:hint="eastAsia" w:ascii="宋体" w:hAnsi="宋体" w:eastAsia="宋体" w:cs="宋体"/>
          <w:color w:val="000000"/>
          <w:sz w:val="24"/>
          <w:szCs w:val="24"/>
          <w:highlight w:val="none"/>
        </w:rPr>
      </w:r>
      <w:r/>
    </w:p>
    <w:p>
      <w:pPr>
        <w:pStyle w:val="929"/>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文件内容须真实、准确、有效，如提供虚假材料或对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文件所要求说明的情况故意隐瞒或虚报，视为不实质性响应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文件将被拒绝。已</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的将取消</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资格，并按《中华人民共和国政府采购法》第七十七条的相关办法处理。</w:t>
      </w:r>
      <w:r>
        <w:rPr>
          <w:rFonts w:hint="eastAsia" w:ascii="宋体" w:hAnsi="宋体" w:eastAsia="宋体" w:cs="宋体"/>
          <w:color w:val="000000"/>
          <w:sz w:val="24"/>
          <w:szCs w:val="24"/>
          <w:highlight w:val="none"/>
        </w:rPr>
      </w:r>
      <w:r/>
    </w:p>
    <w:p>
      <w:pPr>
        <w:pStyle w:val="929"/>
        <w:ind w:firstLine="47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3、供应商应保证</w:t>
      </w:r>
      <w:r>
        <w:rPr>
          <w:rFonts w:hint="eastAsia" w:ascii="宋体" w:hAnsi="宋体" w:eastAsia="宋体" w:cs="宋体"/>
          <w:color w:val="000000"/>
          <w:sz w:val="24"/>
          <w:szCs w:val="24"/>
          <w:highlight w:val="none"/>
          <w:lang w:val="zh-CN" w:eastAsia="zh-CN" w:bidi="ar-SA"/>
        </w:rPr>
        <w:t xml:space="preserve">对所提供货物</w:t>
      </w:r>
      <w:r>
        <w:rPr>
          <w:rFonts w:hint="eastAsia" w:ascii="宋体" w:hAnsi="宋体" w:eastAsia="宋体" w:cs="宋体"/>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zh-CN" w:eastAsia="zh-CN" w:bidi="ar-SA"/>
        </w:rPr>
        <w:t xml:space="preserve">服务等知识产权方面的一切产权关系负全部责任</w:t>
      </w:r>
      <w:r>
        <w:rPr>
          <w:rFonts w:hint="eastAsia" w:ascii="宋体" w:hAnsi="宋体" w:eastAsia="宋体" w:cs="宋体"/>
          <w:color w:val="000000"/>
          <w:sz w:val="24"/>
          <w:szCs w:val="24"/>
          <w:highlight w:val="none"/>
          <w:lang w:val="en-US" w:eastAsia="zh-CN" w:bidi="ar-SA"/>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lang w:val="en-US" w:eastAsia="zh-CN" w:bidi="ar-SA"/>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4、供应商需编制本项目的技术方案，包括但不限于：</w:t>
      </w:r>
      <w:r>
        <w:rPr>
          <w:rFonts w:hint="eastAsia" w:ascii="宋体" w:hAnsi="宋体" w:eastAsia="宋体" w:cs="宋体"/>
          <w:color w:val="000000"/>
          <w:sz w:val="24"/>
          <w:szCs w:val="24"/>
          <w:highlight w:val="none"/>
          <w:lang w:bidi="ar"/>
        </w:rPr>
        <w:t xml:space="preserve">对服务工作的总体设想方案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施工现场平面布置和临时设施布置方案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施工进度计划和各阶段进度的保证措施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分部、分项工程的施工方案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服务期内质量安全保证措施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安全文明施工措施、扬尘污染防治措施及噪音控制的措施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施工工作计划</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机械设备的投入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突发事件的应急情况及相关应急措施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作业人员的技术培训方案及安全教育</w:t>
      </w:r>
      <w:r>
        <w:rPr>
          <w:rFonts w:hint="eastAsia" w:ascii="宋体" w:hAnsi="宋体" w:eastAsia="宋体" w:cs="宋体"/>
          <w:color w:val="000000"/>
          <w:sz w:val="24"/>
          <w:szCs w:val="24"/>
          <w:highlight w:val="none"/>
          <w:lang w:val="en-US" w:eastAsia="zh-CN" w:bidi="ar"/>
        </w:rPr>
        <w:t xml:space="preserve">等方案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5、供应商拟投入本项目的团队需具有履约能力，有服务项目人员，便于项目实施。</w:t>
      </w:r>
      <w:r>
        <w:rPr>
          <w:rFonts w:hint="eastAsia" w:ascii="宋体" w:hAnsi="宋体" w:eastAsia="宋体" w:cs="宋体"/>
          <w:color w:val="000000"/>
          <w:sz w:val="24"/>
          <w:szCs w:val="24"/>
          <w:highlight w:val="none"/>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6、供应商需有丰富的类似项目经验</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bidi="ar-SA"/>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、与本次采购项目有关的质量、安全问题均由</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终生负责，相关的人员、财产责任风险均由供应商全部承担，与他人无涉。</w:t>
      </w:r>
      <w:r>
        <w:rPr>
          <w:rFonts w:hint="eastAsia" w:ascii="宋体" w:hAnsi="宋体" w:eastAsia="宋体" w:cs="宋体"/>
          <w:bCs/>
          <w:color w:val="000000"/>
          <w:sz w:val="24"/>
          <w:szCs w:val="24"/>
          <w:highlight w:val="none"/>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采购人指定地点（苏州大市范围内）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t xml:space="preserve">对采购人提出的服务要求，供应商须在接报后1小时内响应，2小时内到达现场，24小时内解决问题</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6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、凡涉及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文件的补充说明和修改，均以苏州市政府采购网上公示信息为准。</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w:t>
      </w:r>
      <w:r>
        <w:rPr>
          <w:rFonts w:hint="eastAsia" w:ascii="宋体" w:hAnsi="宋体" w:eastAsia="宋体" w:cs="宋体"/>
          <w:b/>
          <w:bCs/>
          <w:color w:val="000000"/>
          <w:sz w:val="24"/>
          <w:szCs w:val="24"/>
          <w:highlight w:val="none"/>
          <w:lang w:val="en-US" w:eastAsia="zh-CN"/>
        </w:rPr>
        <w:t xml:space="preserve">主要条款</w:t>
      </w:r>
      <w:r>
        <w:rPr>
          <w:rFonts w:hint="eastAsia" w:ascii="宋体" w:hAnsi="宋体" w:eastAsia="宋体" w:cs="宋体"/>
          <w:b/>
          <w:color w:val="000000"/>
          <w:sz w:val="24"/>
          <w:szCs w:val="24"/>
          <w:highlight w:val="none"/>
        </w:rPr>
      </w:r>
      <w:r/>
    </w:p>
    <w:p>
      <w:pPr>
        <w:pStyle w:val="92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29"/>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29"/>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9"/>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2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2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2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9"/>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9"/>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lang w:val="en-US" w:eastAsia="zh-CN"/>
        </w:rPr>
        <w:t xml:space="preserve">成交供应商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2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2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9"/>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color w:val="000000"/>
          <w:sz w:val="24"/>
          <w:szCs w:val="24"/>
          <w:highlight w:val="none"/>
          <w:u w:val="single"/>
          <w:lang w:eastAsia="zh-CN"/>
        </w:rPr>
        <w:t xml:space="preserve">2026年木渎镇违法建设及户外广告拆除服务</w:t>
      </w:r>
      <w:r>
        <w:rPr>
          <w:rFonts w:hint="eastAsia" w:ascii="宋体" w:hAnsi="宋体" w:eastAsia="宋体" w:cs="宋体"/>
          <w:color w:val="000000"/>
          <w:sz w:val="24"/>
          <w:szCs w:val="24"/>
          <w:highlight w:val="none"/>
        </w:rPr>
        <w:t xml:space="preserve">项目经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方式进行采购，并依法确定乙方为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根据《中华人民共和国民法典》和《中华人民共和国政府采购法》等有关法律法规，为明确甲方和乙方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一、合同文件</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以下文件是构成本合同不可分割的部分：</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（一）本项目采购文件；</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响应文件；</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（三）合同条款；</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做出的有关澄清、说明或者补正文件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（五）确定</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的文件（包括但不限于成交通知书等）；</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（六）本合同附件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二、服务</w:t>
      </w:r>
      <w:r>
        <w:rPr>
          <w:rFonts w:hint="eastAsia" w:ascii="宋体" w:hAnsi="宋体" w:eastAsia="宋体" w:cs="宋体"/>
          <w:b/>
          <w:color w:val="000000"/>
          <w:sz w:val="24"/>
          <w:szCs w:val="24"/>
          <w:highlight w:val="none"/>
          <w:lang w:val="en-US" w:eastAsia="zh-CN"/>
        </w:rPr>
        <w:t xml:space="preserve">要求</w:t>
      </w:r>
      <w:r>
        <w:rPr>
          <w:rFonts w:hint="eastAsia" w:ascii="宋体" w:hAnsi="宋体" w:eastAsia="宋体" w:cs="宋体"/>
          <w:b/>
          <w:color w:val="000000"/>
          <w:sz w:val="24"/>
          <w:szCs w:val="24"/>
          <w:highlight w:val="none"/>
          <w:lang w:eastAsia="zh-CN"/>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本合同项下乙方所提供的服务内容为：详见采购文件中的采购需求。</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三、合同金额</w:t>
      </w:r>
      <w:r>
        <w:rPr>
          <w:rFonts w:hint="eastAsia" w:ascii="宋体" w:hAnsi="宋体" w:eastAsia="宋体" w:cs="宋体"/>
          <w:b/>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u w:val="single"/>
        </w:rPr>
      </w:pPr>
      <w:r/>
      <w:bookmarkStart w:id="9" w:name="_Hlk56427584"/>
      <w:r>
        <w:rPr>
          <w:rFonts w:hint="eastAsia" w:ascii="宋体" w:hAnsi="宋体" w:eastAsia="宋体" w:cs="宋体"/>
          <w:b/>
          <w:color w:val="000000"/>
          <w:sz w:val="24"/>
          <w:szCs w:val="24"/>
          <w:highlight w:val="none"/>
        </w:rPr>
        <w:t xml:space="preserve">合同总金额为</w:t>
      </w:r>
      <w:r>
        <w:rPr>
          <w:rFonts w:hint="eastAsia" w:ascii="宋体" w:hAnsi="宋体" w:eastAsia="宋体" w:cs="宋体"/>
          <w:b/>
          <w:color w:val="000000"/>
          <w:sz w:val="24"/>
          <w:szCs w:val="24"/>
          <w:highlight w:val="none"/>
          <w:u w:val="single"/>
        </w:rPr>
        <w:t xml:space="preserve">人民币          元，大写：        </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lang w:val="en-US" w:eastAsia="zh-CN"/>
        </w:rPr>
        <w:t xml:space="preserve">优惠率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rPr>
      </w:r>
      <w:r/>
    </w:p>
    <w:p>
      <w:pPr>
        <w:pStyle w:val="10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合同总金额包括完成所有采购内容以及本项目所需的劳务支出、保险、配套费用、税费及服务相关等所发生的全部费用以及</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b/>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四、付款约定</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bookmarkEnd w:id="9"/>
      <w:r>
        <w:rPr>
          <w:rFonts w:hint="eastAsia" w:ascii="宋体" w:hAnsi="宋体" w:eastAsia="宋体" w:cs="宋体"/>
          <w:bCs/>
          <w:color w:val="000000"/>
          <w:sz w:val="24"/>
          <w:szCs w:val="24"/>
          <w:highlight w:val="none"/>
        </w:rPr>
        <w:t xml:space="preserve">1、甲方根据乙方在本合同中所提供银行开户信息转账支付。</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乙方开户名称：</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2、付款步骤：</w:t>
      </w:r>
      <w:r>
        <w:rPr>
          <w:rFonts w:hint="eastAsia" w:ascii="宋体" w:hAnsi="宋体" w:eastAsia="宋体" w:cs="宋体"/>
          <w:bCs/>
          <w:color w:val="000000"/>
          <w:sz w:val="24"/>
          <w:szCs w:val="24"/>
          <w:highlight w:val="none"/>
        </w:rPr>
      </w:r>
      <w:r/>
    </w:p>
    <w:p>
      <w:pPr>
        <w:pStyle w:val="929"/>
        <w:ind w:firstLine="480"/>
        <w:spacing w:line="360" w:lineRule="auto"/>
        <w:rPr>
          <w:rFonts w:ascii="宋体" w:hAnsi="宋体" w:eastAsia="宋体"/>
          <w:bCs/>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合同生效后，甲方按月向乙方支付的金额=每月发生的工作量相对应金额-月考核扣款（考核标准见附件）。</w:t>
      </w:r>
      <w:r>
        <w:rPr>
          <w:rFonts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2</w:t>
      </w:r>
      <w:r>
        <w:rPr>
          <w:rFonts w:hint="eastAsia" w:ascii="宋体" w:hAnsi="宋体" w:eastAsia="宋体"/>
          <w:bCs/>
          <w:color w:val="000000"/>
          <w:sz w:val="24"/>
          <w:szCs w:val="24"/>
          <w:highlight w:val="none"/>
          <w:lang w:eastAsia="zh-CN"/>
        </w:rPr>
        <w:t xml:space="preserve">）</w:t>
      </w:r>
      <w:r>
        <w:rPr>
          <w:rFonts w:hint="eastAsia" w:ascii="宋体" w:hAnsi="宋体" w:eastAsia="宋体"/>
          <w:color w:val="000000"/>
          <w:sz w:val="24"/>
          <w:szCs w:val="24"/>
          <w:highlight w:val="none"/>
        </w:rPr>
        <w:t xml:space="preserve">乙方每月按照考核后应收费用开具发票，甲方按照实际发票金额支付。</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3</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乙方在实际服务中，若服务期限有增减，按实结算。</w:t>
      </w:r>
      <w:r>
        <w:rPr>
          <w:rFonts w:hint="eastAsia" w:ascii="宋体" w:hAnsi="宋体" w:eastAsia="宋体"/>
          <w:bCs/>
          <w:color w:val="000000"/>
          <w:sz w:val="24"/>
          <w:szCs w:val="24"/>
          <w:highlight w:val="none"/>
        </w:rPr>
      </w:r>
      <w:r/>
    </w:p>
    <w:p>
      <w:pPr>
        <w:pStyle w:val="929"/>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3、</w:t>
      </w:r>
      <w:r>
        <w:rPr>
          <w:rFonts w:hint="eastAsia" w:ascii="宋体" w:hAnsi="宋体" w:eastAsia="宋体"/>
          <w:bCs/>
          <w:color w:val="000000"/>
          <w:sz w:val="24"/>
          <w:szCs w:val="24"/>
          <w:highlight w:val="none"/>
        </w:rPr>
        <w:t xml:space="preserve">甲方将根据月度考核检查情况调整每月实际支付金额，实际总金额可能与合同价有差异。</w:t>
      </w:r>
      <w:r>
        <w:rPr>
          <w:rFonts w:ascii="宋体" w:hAnsi="宋体" w:eastAsia="宋体"/>
          <w:bCs/>
          <w:color w:val="000000"/>
          <w:sz w:val="24"/>
          <w:szCs w:val="24"/>
          <w:highlight w:val="none"/>
        </w:rPr>
      </w:r>
      <w:r/>
    </w:p>
    <w:p>
      <w:pPr>
        <w:pStyle w:val="929"/>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rPr>
        <w:t xml:space="preserve">甲方支付此项费用外不再承担其它任何费用（包括个人），服务人员的薪金、福利、休假日补贴等由乙方付给，与甲方无关。</w:t>
      </w:r>
      <w:r>
        <w:rPr>
          <w:rFonts w:ascii="宋体" w:hAnsi="宋体" w:eastAsia="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五、服务履行地点、期限</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1、服务履行地点：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指定地点（苏州大市范围内）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服务期限：</w:t>
      </w:r>
      <w:r>
        <w:rPr>
          <w:rFonts w:hint="eastAsia" w:ascii="宋体" w:hAnsi="宋体" w:eastAsia="宋体" w:cs="宋体"/>
          <w:color w:val="000000"/>
          <w:sz w:val="24"/>
          <w:szCs w:val="24"/>
          <w:highlight w:val="none"/>
        </w:rPr>
        <w:t xml:space="preserve">一年（具体时间以甲方通知为准）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六、服务要求</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提出的服务要求，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须在接报后1小时内响应，2小时内到达现场，24小时内解决问题。</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七、验收</w:t>
      </w:r>
      <w:r>
        <w:rPr>
          <w:rFonts w:hint="eastAsia" w:ascii="宋体" w:hAnsi="宋体" w:eastAsia="宋体" w:cs="宋体"/>
          <w:b/>
          <w:color w:val="000000"/>
          <w:sz w:val="24"/>
          <w:szCs w:val="24"/>
          <w:highlight w:val="none"/>
        </w:rPr>
      </w:r>
      <w:r/>
    </w:p>
    <w:p>
      <w:pPr>
        <w:pStyle w:val="929"/>
        <w:ind w:firstLine="480"/>
        <w:spacing w:line="360"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、验收标准：</w:t>
      </w:r>
      <w:r>
        <w:rPr>
          <w:rFonts w:hint="eastAsia" w:ascii="宋体" w:hAnsi="宋体" w:eastAsia="宋体" w:cs="宋体"/>
          <w:color w:val="000000"/>
          <w:sz w:val="24"/>
          <w:szCs w:val="24"/>
          <w:highlight w:val="none"/>
          <w:lang w:val="en-US" w:eastAsia="zh-CN"/>
        </w:rPr>
        <w:t xml:space="preserve">按照采购文件中规定的采购内容和需求及乙方承诺的其他指标进行验收，验收标准必须</w:t>
      </w:r>
      <w:r>
        <w:rPr>
          <w:rFonts w:hint="eastAsia" w:ascii="宋体" w:hAnsi="宋体" w:eastAsia="宋体" w:cs="宋体"/>
          <w:color w:val="000000"/>
          <w:sz w:val="24"/>
          <w:szCs w:val="24"/>
          <w:highlight w:val="none"/>
        </w:rPr>
        <w:t xml:space="preserve">符合相关国家、</w:t>
      </w:r>
      <w:r>
        <w:rPr>
          <w:rFonts w:hint="eastAsia" w:ascii="宋体" w:hAnsi="宋体" w:eastAsia="宋体" w:cs="宋体"/>
          <w:color w:val="000000"/>
          <w:sz w:val="24"/>
          <w:szCs w:val="24"/>
          <w:highlight w:val="none"/>
          <w:lang w:val="en-US" w:eastAsia="zh-CN"/>
        </w:rPr>
        <w:t xml:space="preserve">省、市标准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、任一项验收不合格的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乙方应负责在甲方限定的期限内完成整改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因整改而导致的费用和损失由乙方自行承担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若导致项目逾期的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乙方承担逾期违约责任。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、甲方所有验收意见将以书面形式做出并加盖甲方公章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因此除非甲方书面明示通过验收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否则任何其他行为均不代表甲方已验收合格。</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八、服务质量</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1、乙方应保证提供给甲方的服务完全符合本项目</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文件规定的服务标准。</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3、乙方保证提供的服务符合中华人民共和国国家及行业的安全质量标准、环保标准中之较高者。</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4、乙方保证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乙方依据本合同提供的服务及相关的软件和技术资料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乙方均已得到有关知识产权的权利人的合法授权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如发生涉及到专利权、著作权、商标权等争议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乙方负责处理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并承担由此引起的全部法律及经济责任。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5、乙方应保证甲方在中国境内使用服务或服务的任何一部分时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乙方应负责处理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并承担甲方因此发生的全部费用及损失。</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 xml:space="preserve">九、履约保证金</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9"/>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w:t>
      </w:r>
      <w:r>
        <w:rPr>
          <w:rFonts w:ascii="Wingdings 2" w:hAnsi="Wingdings 2" w:eastAsia="Wingdings 2" w:cs="Wingdings 2"/>
          <w:bCs/>
          <w:color w:val="000000"/>
          <w:sz w:val="24"/>
          <w:szCs w:val="24"/>
          <w:highlight w:val="none"/>
        </w:rPr>
        <w:t xml:space="preserve">R</w:t>
      </w:r>
      <w:r>
        <w:rPr>
          <w:rFonts w:hint="eastAsia" w:ascii="宋体" w:hAnsi="宋体" w:eastAsia="宋体" w:cs="宋体"/>
          <w:bCs/>
          <w:color w:val="000000"/>
          <w:sz w:val="24"/>
          <w:szCs w:val="24"/>
          <w:highlight w:val="none"/>
        </w:rPr>
        <w:t xml:space="preserve">不要求提交履约保证金</w:t>
      </w:r>
      <w:r>
        <w:rPr>
          <w:rFonts w:hint="eastAsia" w:ascii="宋体" w:hAnsi="宋体" w:eastAsia="宋体" w:cs="宋体"/>
          <w:bCs/>
          <w:color w:val="000000"/>
          <w:sz w:val="24"/>
          <w:szCs w:val="24"/>
          <w:highlight w:val="none"/>
        </w:rPr>
      </w:r>
      <w:r/>
    </w:p>
    <w:p>
      <w:pPr>
        <w:pStyle w:val="929"/>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ascii="Wingdings 2" w:hAnsi="Wingdings 2" w:eastAsia="Wingdings 2" w:cs="Wingdings 2"/>
          <w:bCs/>
          <w:color w:val="000000"/>
          <w:sz w:val="24"/>
          <w:szCs w:val="24"/>
          <w:highlight w:val="none"/>
        </w:rPr>
        <w:t xml:space="preserve">£</w:t>
      </w:r>
      <w:r>
        <w:rPr>
          <w:rFonts w:hint="eastAsia" w:ascii="宋体" w:hAnsi="宋体" w:eastAsia="宋体" w:cs="宋体"/>
          <w:bCs/>
          <w:color w:val="000000"/>
          <w:sz w:val="24"/>
          <w:szCs w:val="24"/>
          <w:highlight w:val="none"/>
        </w:rPr>
        <w:t xml:space="preserve">要求提交履约保证金，金额：合同金额的</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，要求如下：</w:t>
      </w:r>
      <w:r>
        <w:rPr>
          <w:rFonts w:hint="eastAsia" w:ascii="宋体" w:hAnsi="宋体" w:eastAsia="宋体" w:cs="宋体"/>
          <w:bCs/>
          <w:color w:val="000000"/>
          <w:sz w:val="24"/>
          <w:szCs w:val="24"/>
          <w:highlight w:val="none"/>
        </w:rPr>
      </w:r>
      <w:r/>
    </w:p>
    <w:p>
      <w:pPr>
        <w:pStyle w:val="929"/>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1、在签订合同前，</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应当以支票、汇票、本票或者金融机构、担保机构出具的保函等非现金形式提交。</w:t>
      </w:r>
      <w:r>
        <w:rPr>
          <w:rFonts w:hint="eastAsia" w:ascii="宋体" w:hAnsi="宋体" w:eastAsia="宋体" w:cs="宋体"/>
          <w:bCs/>
          <w:color w:val="000000"/>
          <w:sz w:val="24"/>
          <w:szCs w:val="24"/>
          <w:highlight w:val="none"/>
        </w:rPr>
      </w:r>
      <w:r/>
    </w:p>
    <w:p>
      <w:pPr>
        <w:pStyle w:val="929"/>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无故拖延或拒不提交履约保证金的，视为拒绝与</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929"/>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3、履约保证金将在</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合同履行完毕且验收合格后，</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在五个工作日内退返</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9"/>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4、履约保证金（无息）在服务期满且服务缺陷更正，并配合甲方和新</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单位办理移交手续后退还。如乙方对服务缺陷不予更正，甲方有权另请其他单位更正，所发生的费用在履约保证金中扣除。</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十</w:t>
      </w:r>
      <w:r>
        <w:rPr>
          <w:rFonts w:hint="eastAsia" w:ascii="宋体" w:hAnsi="宋体" w:eastAsia="宋体"/>
          <w:b/>
          <w:bCs/>
          <w:color w:val="000000"/>
          <w:sz w:val="24"/>
          <w:szCs w:val="24"/>
          <w:highlight w:val="none"/>
        </w:rPr>
        <w:t xml:space="preserve">、甲、乙双方的责任</w:t>
      </w:r>
      <w:r>
        <w:rPr>
          <w:rFonts w:hint="eastAsia" w:ascii="宋体" w:hAnsi="宋体" w:eastAsia="宋体"/>
          <w:b/>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（一）甲方责任：</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1、为乙方管理部门提供必要的通讯线路，通讯费用乙方自理；并指定专人作为甲方联系人予以协调工作。加强与乙方沟通，交流情况，互通信息。</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2、甲方应教育所属人员尊重乙方工作人员的劳动成果，积极配合乙方工作人员履行好合同所规定的职责和义务。因甲方人员使用设备、器材、器械不当而造成的损失与乙方无关。</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3、定期组织对乙方服务质量的考核、收集意见和建议，并将结果及时通报乙方。</w:t>
      </w:r>
      <w:r>
        <w:rPr>
          <w:rFonts w:hint="eastAsia" w:ascii="宋体" w:hAnsi="宋体" w:eastAsia="宋体"/>
          <w:bCs/>
          <w:color w:val="000000"/>
          <w:sz w:val="24"/>
          <w:szCs w:val="24"/>
          <w:highlight w:val="none"/>
        </w:rPr>
      </w:r>
      <w:r/>
    </w:p>
    <w:p>
      <w:pPr>
        <w:pStyle w:val="929"/>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4、为乙方有效开展工作提供其他必要的便利。</w:t>
      </w:r>
      <w:r>
        <w:rPr>
          <w:rFonts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（二）乙方责任：</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乙方在提供服务之前，甲方有权要求乙方提供服务工作人员的基本信息、资质证明等。如乙方在规定的时间内未能向甲方提供相关资料，或提供的材料不完整、不真实的，或未经甲方审核通过的，甲方有权要求乙方立即整改，整改不及时，甲方有权对乙方作出相应惩罚。</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3、配置本项目的工作人员仅为本项目提供服务，不得在其他项目兼职。配置给甲方的工作人员，如需在本项目内临时调配的，需书面申报并征得甲方同意。</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如乙方在规定的时间内未按甲方要求，调换或增配服务人员的；未经甲方批准擅自调动、调整工作人员及甲方确定为关键性岗位工作人员的；擅自调动服务人员未经甲方批准的；甲方有权对乙方作出相应惩罚。</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5、乙方应经常对员工进行岗位职责和安全教育，加强岗位责任考核。因管理不当、违规操作发生消防、设备损坏等安全事故的，乙方应承担全部责任，并负责赔偿由此造成的损失，与甲方无关。</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7、乙方应认真管理和使用项目内各项设备，建立各类设备的管理档案资料，并每月向甲方上报备案。</w:t>
      </w:r>
      <w:r>
        <w:rPr>
          <w:rFonts w:hint="eastAsia" w:ascii="宋体" w:hAnsi="宋体" w:eastAsia="宋体"/>
          <w:bCs/>
          <w:color w:val="000000"/>
          <w:sz w:val="24"/>
          <w:szCs w:val="24"/>
          <w:highlight w:val="none"/>
        </w:rPr>
      </w:r>
      <w:r/>
    </w:p>
    <w:p>
      <w:pPr>
        <w:pStyle w:val="929"/>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8、确因甲方工作需要，乙方应无条件配合甲方完成一些突击性工作。</w:t>
      </w:r>
      <w:r>
        <w:rPr>
          <w:rFonts w:hint="eastAsia" w:ascii="宋体" w:hAnsi="宋体" w:eastAsia="宋体"/>
          <w:bCs/>
          <w:color w:val="000000"/>
          <w:sz w:val="24"/>
          <w:szCs w:val="24"/>
          <w:highlight w:val="none"/>
        </w:rPr>
      </w:r>
      <w:r/>
    </w:p>
    <w:p>
      <w:pPr>
        <w:pStyle w:val="929"/>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9、乙方在响应文件中提出的其他服务承诺。</w:t>
      </w:r>
      <w:r>
        <w:rPr>
          <w:rFonts w:ascii="宋体" w:hAnsi="宋体" w:eastAsia="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合同一方不履行合同义务或者履行合同义务不符合约定的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应当承担继续履行、采取补救措施或者赔偿损失等违约责任。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1、甲方违约责任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在合同生效后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甲方无故要求终止服务的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应向乙方偿付合同总价款的5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作为违约金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违约金不足以补偿损失的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乙方有权要求甲方补足。</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 甲方逾期付款的应按照逾期付款金额的每天万分之四支付逾期付款违约金。</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 甲方违反合同约定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拒绝接受乙方交付的合格服务的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应当承担乙方由此造成的损失。</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2、乙方违约责任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乙方不能服务（逾期超过24小时视为不能服务）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或服务不合格从而影响甲方按期正常使用的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甲方有权解除合同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乙方向甲方赔偿合同总价款5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的违约金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违约金不足以补偿损失的甲方有权要求乙方补足。</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 乙方逾期提供服务的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应在服务前与甲方和招标代理协商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甲方仍需求的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同时承担甲方因此遭致的损失费用。</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3、如果出现政府采购监管部门在处理投诉事项期间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通知甲方暂停采购活动的情形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或者询问或质疑事项可能影响最终成交结果的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导致甲方中止履行合同的情形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均不视为甲方违约。</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、合同的解除和转让</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1、甲方和乙方协商一致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可以解除合同。</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合同一方可以解除合同：</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（1）因不可抗力致使不能实现合同目的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未受不可抗力影响的一方有权解除合同；</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文件约定的解除合同的情形。</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3、政府采购合同继续履行将损害国家利益和社会公共利益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甲方有权变更、中止或者终止、解除合同。</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4、乙方提交的投标材料虚假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或者乙方故意隐瞒足以导致不能中标的事实被发现的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甲方可以单方解除本合同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5、本合同不得以任何形式转让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否则视为乙方违约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甲方可以单方解除本合同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6、本合同未经甲方书面同意不得分包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否则视为乙方违约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甲方可以单方解除本合同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1110"/>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7、有权解除合同的一方</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应当在违约事实或不可抗力发生之后三十天内书面通知对方以主张解除合同</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合同在书面通知到达对方时解除。</w:t>
      </w:r>
      <w:r>
        <w:rPr>
          <w:rFonts w:hint="eastAsia" w:ascii="宋体" w:hAnsi="宋体" w:eastAsia="宋体" w:cs="宋体"/>
          <w:color w:val="000000"/>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1、不可抗力指下列事件：战争、动乱、瘟疫、严重火灾、洪水、地震、风暴或其他自然灾害</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以及本合同各方不可预见、不可防止并不能避免或克服的一切其他因素及事件。</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该方应尽快通知另一方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应当及时通知对方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以减轻可能给对方造成的损失</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并应当在不可抗力发生之日起15日内提供权威部门出具的认定不可抗力的证明。</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协商确定是否终止本合同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或是继续履行本合同。</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应视为不可抗力事件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甲方免责。本合同终止后甲方应支付乙方实际履行时间（天数）的服务款项（单价不予调整）。</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、保密条款</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2、在下列情形下：当国家机关调查、审查、审计时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以及其他符合法律规定的情形下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但应当在合理的必要范围内。对任何已经公布过的内容或与之内容相同的资料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以及乙方已经泄露或公开的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无须再承担保密责任。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3、此外的其他情形下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除非法律、法规另有规定或得到本合同之其他各方的书面许可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、联系方式</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1、合同双方发出与本合同有关的通知或回复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应以专人送递、传真或特快专递方式发出；如果以专人送递或特快专递发送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以送达至对方的住所地或通讯联络地为送达；如果以传真方式发送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发件人在收到传真报告后视为送达；如果采用电话或电子邮件的方式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则应在发送后由对方以书面方式予以确认。</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2、合同双方发出的与本合同有关的通知或回复均应发至本合同首部载明的通讯地址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一方变更通讯地址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应自变更之日起3个工作日内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将变更后的地址通知对方。变更方不履行通知义务的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应对此造成的一切后果承担法律责任。</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3、上述发出通知、回复的费用由发出一方承担。</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bookmarkStart w:id="10" w:name="_Toc26807"/>
      <w:r/>
      <w:bookmarkStart w:id="11" w:name="_Toc32454"/>
      <w:r/>
      <w:bookmarkStart w:id="12" w:name="_Toc30329"/>
      <w:r/>
      <w:bookmarkStart w:id="13" w:name="_Toc51257766"/>
      <w:r/>
      <w:bookmarkStart w:id="14" w:name="_Toc9497"/>
      <w:r/>
      <w:bookmarkStart w:id="15" w:name="_Toc18683"/>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、争议的解决</w:t>
      </w:r>
      <w:bookmarkEnd w:id="10"/>
      <w:r/>
      <w:bookmarkEnd w:id="11"/>
      <w:r/>
      <w:bookmarkEnd w:id="12"/>
      <w:r/>
      <w:bookmarkEnd w:id="13"/>
      <w:r/>
      <w:bookmarkEnd w:id="14"/>
      <w:r/>
      <w:bookmarkEnd w:id="15"/>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与本合同有关的一切争议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双方应通过友好协商解决。如果经协商不能达成协议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可以向甲方所在地有管辖权的人民法院起诉。</w:t>
      </w:r>
      <w:r>
        <w:rPr>
          <w:rFonts w:hint="eastAsia" w:ascii="宋体" w:hAnsi="宋体" w:eastAsia="宋体" w:cs="宋体"/>
          <w:bCs/>
          <w:color w:val="000000"/>
          <w:sz w:val="24"/>
          <w:szCs w:val="24"/>
          <w:highlight w:val="none"/>
        </w:rPr>
      </w:r>
      <w:r/>
    </w:p>
    <w:p>
      <w:pPr>
        <w:pStyle w:val="92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1、本合同经甲乙双方签</w:t>
      </w:r>
      <w:r>
        <w:rPr>
          <w:rFonts w:hint="eastAsia" w:ascii="宋体" w:hAnsi="宋体" w:eastAsia="宋体" w:cs="宋体"/>
          <w:bCs/>
          <w:color w:val="000000"/>
          <w:sz w:val="24"/>
          <w:szCs w:val="24"/>
          <w:highlight w:val="none"/>
          <w:lang w:val="en-US" w:eastAsia="zh-CN"/>
        </w:rPr>
        <w:t xml:space="preserve">字盖</w:t>
      </w:r>
      <w:r>
        <w:rPr>
          <w:rFonts w:hint="eastAsia" w:ascii="宋体" w:hAnsi="宋体" w:eastAsia="宋体" w:cs="宋体"/>
          <w:bCs/>
          <w:color w:val="000000"/>
          <w:sz w:val="24"/>
          <w:szCs w:val="24"/>
          <w:highlight w:val="none"/>
        </w:rPr>
        <w:t xml:space="preserve">章之日起生效。</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2、本合同系指本文件及其附件中的所有部分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须符合《中华人民共和国政府采购法》和相关法律法规规定；补充协议作为本合同不可分割的一部分。</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3、本合同壹式肆份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甲乙双方各执壹份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采购代理机构贰份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具有同等法律效力。</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4、本合同应按照中华人民共和国的现行法律进行解释。</w:t>
      </w:r>
      <w:r>
        <w:rPr>
          <w:rFonts w:hint="eastAsia" w:ascii="宋体" w:hAnsi="宋体" w:eastAsia="宋体" w:cs="宋体"/>
          <w:bCs/>
          <w:color w:val="000000"/>
          <w:sz w:val="24"/>
          <w:szCs w:val="24"/>
          <w:highlight w:val="none"/>
        </w:rPr>
      </w:r>
      <w:r/>
    </w:p>
    <w:p>
      <w:pPr>
        <w:pStyle w:val="961"/>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    方：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    方：</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名称(公章)：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名称(公章)：</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法定代表人/负责人：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法定代表人/负责人：</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或授权代理人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或授权代理人：</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签订日期：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签订日期：</w:t>
      </w:r>
      <w:r>
        <w:rPr>
          <w:rFonts w:hint="eastAsia" w:ascii="宋体" w:hAnsi="宋体" w:eastAsia="宋体" w:cs="宋体"/>
          <w:bCs/>
          <w:color w:val="000000"/>
          <w:sz w:val="24"/>
          <w:szCs w:val="24"/>
          <w:highlight w:val="none"/>
        </w:rPr>
      </w:r>
      <w:r/>
    </w:p>
    <w:p>
      <w:pPr>
        <w:pStyle w:val="1126"/>
        <w:ind w:firstLine="0"/>
        <w:rPr>
          <w:rFonts w:ascii="宋体" w:hAnsi="宋体" w:eastAsia="宋体"/>
          <w:color w:val="000000"/>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olor w:val="000000"/>
          <w:szCs w:val="24"/>
          <w:highlight w:val="none"/>
        </w:rPr>
        <w:t xml:space="preserve">附件：考核办法</w:t>
      </w:r>
      <w:r>
        <w:rPr>
          <w:rFonts w:ascii="宋体" w:hAnsi="宋体" w:eastAsia="宋体"/>
          <w:color w:val="000000"/>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326"/>
        <w:gridCol w:w="1166"/>
        <w:gridCol w:w="4369"/>
        <w:gridCol w:w="1019"/>
        <w:gridCol w:w="1748"/>
      </w:tblGrid>
      <w:tr>
        <w:trPr>
          <w:trHeight w:val="540"/>
        </w:trPr>
        <w:tc>
          <w:tcPr>
            <w:gridSpan w:val="5"/>
            <w:tcBorders>
              <w:top w:val="none" w:color="000000" w:sz="4" w:space="0"/>
              <w:left w:val="none" w:color="000000" w:sz="4" w:space="0"/>
              <w:bottom w:val="none" w:color="000000" w:sz="4" w:space="0"/>
              <w:right w:val="none" w:color="000000" w:sz="4" w:space="0"/>
            </w:tcBorders>
            <w:tcW w:w="9628"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拆除服务考核表</w:t>
            </w:r>
            <w:r>
              <w:rPr>
                <w:rFonts w:ascii="宋体" w:hAnsi="宋体" w:eastAsia="宋体"/>
                <w:color w:val="000000"/>
                <w:sz w:val="24"/>
                <w:szCs w:val="24"/>
                <w:highlight w:val="none"/>
              </w:rPr>
            </w:r>
            <w:r/>
          </w:p>
        </w:tc>
      </w:tr>
      <w:tr>
        <w:trPr>
          <w:trHeight w:val="615"/>
        </w:trPr>
        <w:tc>
          <w:tcPr>
            <w:tcBorders>
              <w:top w:val="none" w:color="000000" w:sz="4" w:space="0"/>
              <w:left w:val="none" w:color="000000" w:sz="4" w:space="0"/>
              <w:bottom w:val="none" w:color="000000" w:sz="4" w:space="0"/>
              <w:right w:val="none" w:color="000000" w:sz="4" w:space="0"/>
            </w:tcBorders>
            <w:tcW w:w="1326" w:type="dxa"/>
            <w:vAlign w:val="center"/>
            <w:textDirection w:val="lrTb"/>
            <w:noWrap w:val="false"/>
          </w:tcPr>
          <w:p>
            <w:pPr>
              <w:pStyle w:val="929"/>
              <w:jc w:val="left"/>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时间：</w:t>
            </w:r>
            <w:r>
              <w:rPr>
                <w:rFonts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166" w:type="dxa"/>
            <w:vAlign w:val="center"/>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36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中队：</w:t>
            </w:r>
            <w:r>
              <w:rPr>
                <w:rFonts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019" w:type="dxa"/>
            <w:vAlign w:val="center"/>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48" w:type="dxa"/>
            <w:vAlign w:val="center"/>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516"/>
        </w:trPr>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项目</w:t>
            </w:r>
            <w:r>
              <w:rPr>
                <w:rFonts w:ascii="宋体" w:hAnsi="宋体" w:eastAsia="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分值</w:t>
            </w:r>
            <w:r>
              <w:rPr>
                <w:rFonts w:ascii="宋体" w:hAnsi="宋体" w:eastAsia="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jc w:val="center"/>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评分说明</w:t>
            </w:r>
            <w:r>
              <w:rPr>
                <w:rFonts w:ascii="宋体" w:hAnsi="宋体" w:eastAsia="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得分</w:t>
            </w:r>
            <w:r>
              <w:rPr>
                <w:rFonts w:ascii="宋体" w:hAnsi="宋体" w:eastAsia="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48" w:type="dxa"/>
            <w:vAlign w:val="center"/>
            <w:textDirection w:val="lrTb"/>
            <w:noWrap w:val="false"/>
          </w:tcPr>
          <w:p>
            <w:pPr>
              <w:pStyle w:val="929"/>
              <w:jc w:val="center"/>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备注</w:t>
            </w:r>
            <w:r>
              <w:rPr>
                <w:rFonts w:ascii="宋体" w:hAnsi="宋体" w:eastAsia="宋体"/>
                <w:b/>
                <w:bCs/>
                <w:color w:val="000000"/>
                <w:sz w:val="24"/>
                <w:szCs w:val="24"/>
                <w:highlight w:val="none"/>
              </w:rPr>
            </w:r>
            <w:r/>
          </w:p>
        </w:tc>
      </w:tr>
      <w:tr>
        <w:trPr>
          <w:cantSplit/>
          <w:trHeight w:val="971"/>
        </w:trPr>
        <w:tc>
          <w:tcPr>
            <w:tcBorders>
              <w:top w:val="non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拆除人员到位时间</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人员按时到达指定地点得10分，迟到半小时扣2分，以此类推。</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748" w:type="dxa"/>
            <w:vAlign w:val="center"/>
            <w:vMerge w:val="restart"/>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得分在90分及以上的本次拆除费用全额结付，80分至89分按90%结算，80分以下按80%结算。</w:t>
            </w:r>
            <w:r>
              <w:rPr>
                <w:rFonts w:ascii="宋体" w:hAnsi="宋体" w:eastAsia="宋体"/>
                <w:color w:val="000000"/>
                <w:sz w:val="24"/>
                <w:szCs w:val="24"/>
                <w:highlight w:val="none"/>
              </w:rPr>
            </w:r>
            <w:r/>
          </w:p>
        </w:tc>
      </w:tr>
      <w:tr>
        <w:trPr>
          <w:cantSplit/>
          <w:trHeight w:val="984"/>
        </w:trPr>
        <w:tc>
          <w:tcPr>
            <w:tcBorders>
              <w:top w:val="non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拆除人员配备情况</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现场服务人员，具体按拆除规模定，不得少于甲方要求的人员数量，少1人扣5分。</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748" w:type="dxa"/>
            <w:vAlign w:val="center"/>
            <w:vMerge w:val="continue"/>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1112"/>
        </w:trPr>
        <w:tc>
          <w:tcPr>
            <w:tcBorders>
              <w:top w:val="non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拆除设备配备情况</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20</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jc w:val="left"/>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一份需具有服务所需的相关设备，具体按拆除规模定，不得少于甲方要求的数量，少一样扣5分。</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748" w:type="dxa"/>
            <w:vAlign w:val="center"/>
            <w:vMerge w:val="continue"/>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2121"/>
        </w:trPr>
        <w:tc>
          <w:tcPr>
            <w:tcBorders>
              <w:top w:val="non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拆除工作效率情况</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20</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到达现场后，在甲方确认可进行拆除作业后，有条不紊的展开拆除工作。人员、设备配合娴熟，能快速熟练拆除甲方指定的各类违章或广告。因拆除效率导致的拆除进度缓慢的扣5分；因拆除效率导致未能完成拆除工作扣10分。</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748" w:type="dxa"/>
            <w:vAlign w:val="center"/>
            <w:vMerge w:val="continue"/>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2407"/>
        </w:trPr>
        <w:tc>
          <w:tcPr>
            <w:tcBorders>
              <w:top w:val="non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拆除过程中的安全措施</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20</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在拆除过程中要有相应的安全措施保障。相应人员未持证上岗的扣5分；现场未进行相应的安全封闭措施的扣5分；施工前项目经理或安全员未对施工人员进行安全说明的扣5分；根据施工实际需求，在过程中未佩戴安全帽、安全绳等的扣5分。</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748" w:type="dxa"/>
            <w:vAlign w:val="center"/>
            <w:vMerge w:val="continue"/>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2101"/>
        </w:trPr>
        <w:tc>
          <w:tcPr>
            <w:tcBorders>
              <w:top w:val="none" w:color="000000" w:sz="4" w:space="0"/>
              <w:left w:val="single" w:color="000000" w:sz="4" w:space="0"/>
              <w:bottom w:val="single" w:color="000000" w:sz="4" w:space="0"/>
              <w:right w:val="single" w:color="000000" w:sz="4" w:space="0"/>
            </w:tcBorders>
            <w:tcW w:w="132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拆除后扫尾工作情况</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20</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369" w:type="dxa"/>
            <w:vAlign w:val="center"/>
            <w:textDirection w:val="lrTb"/>
            <w:noWrap w:val="false"/>
          </w:tcPr>
          <w:p>
            <w:pPr>
              <w:pStyle w:val="92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拆除之废料（钢废料）吊运至地面集中堆放；屋顶拆除之建筑垃圾吊运至地面集中堆放，并将屋顶清扫干净；建筑垃圾被拆单位自行处理；私开门窗、出入口进行砖砌封堵后清理现场多余物料。未按要求扫尾清理的一起扣5分。</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929"/>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748" w:type="dxa"/>
            <w:vAlign w:val="center"/>
            <w:vMerge w:val="continue"/>
            <w:textDirection w:val="lrTb"/>
            <w:noWrap w:val="false"/>
          </w:tcPr>
          <w:p>
            <w:pPr>
              <w:pStyle w:val="929"/>
              <w:jc w:val="left"/>
              <w:widowControl/>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929"/>
        <w:ind w:firstLine="482"/>
        <w:jc w:val="left"/>
        <w:spacing w:line="360" w:lineRule="auto"/>
        <w:rPr>
          <w:rStyle w:val="1023"/>
          <w:rFonts w:hint="eastAsia" w:ascii="宋体" w:hAnsi="宋体" w:eastAsia="宋体" w:cs="宋体"/>
          <w:color w:val="000000"/>
          <w:sz w:val="24"/>
          <w:szCs w:val="24"/>
          <w:highlight w:val="none"/>
        </w:rPr>
      </w:pPr>
      <w:r>
        <w:rPr>
          <w:rStyle w:val="1023"/>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val="0"/>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bCs w:val="0"/>
          <w:color w:val="000000"/>
          <w:sz w:val="24"/>
          <w:szCs w:val="24"/>
          <w:highlight w:val="none"/>
        </w:rPr>
      </w:r>
      <w:r/>
    </w:p>
    <w:p>
      <w:pPr>
        <w:pStyle w:val="9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w:t>
      </w:r>
      <w:r>
        <w:rPr>
          <w:rFonts w:hint="eastAsia" w:ascii="宋体" w:hAnsi="宋体" w:eastAsia="宋体" w:cs="宋体"/>
          <w:b/>
          <w:bCs/>
          <w:color w:val="000000"/>
          <w:sz w:val="24"/>
          <w:szCs w:val="24"/>
          <w:highlight w:val="none"/>
          <w:lang w:val="en-US" w:eastAsia="zh-CN"/>
        </w:rPr>
        <w:t xml:space="preserve">方法</w:t>
      </w:r>
      <w:r>
        <w:rPr>
          <w:rFonts w:hint="eastAsia" w:ascii="宋体" w:hAnsi="宋体" w:eastAsia="宋体" w:cs="宋体"/>
          <w:b/>
          <w:bCs/>
          <w:color w:val="000000"/>
          <w:sz w:val="24"/>
          <w:szCs w:val="24"/>
          <w:highlight w:val="none"/>
        </w:rPr>
        <w:t xml:space="preserve">及</w:t>
      </w:r>
      <w:r>
        <w:rPr>
          <w:rFonts w:hint="eastAsia" w:ascii="宋体" w:hAnsi="宋体" w:eastAsia="宋体" w:cs="宋体"/>
          <w:b/>
          <w:bCs/>
          <w:color w:val="000000"/>
          <w:sz w:val="24"/>
          <w:szCs w:val="24"/>
          <w:highlight w:val="none"/>
          <w:lang w:val="en-US" w:eastAsia="zh-CN"/>
        </w:rPr>
        <w:t xml:space="preserve">评审</w:t>
      </w:r>
      <w:r>
        <w:rPr>
          <w:rFonts w:hint="eastAsia" w:ascii="宋体" w:hAnsi="宋体" w:eastAsia="宋体" w:cs="宋体"/>
          <w:b/>
          <w:bCs/>
          <w:color w:val="000000"/>
          <w:sz w:val="24"/>
          <w:szCs w:val="24"/>
          <w:highlight w:val="none"/>
        </w:rPr>
        <w:t xml:space="preserve">标准</w:t>
      </w:r>
      <w:r>
        <w:rPr>
          <w:rFonts w:hint="eastAsia" w:ascii="宋体" w:hAnsi="宋体" w:eastAsia="宋体" w:cs="宋体"/>
          <w:b/>
          <w:bCs/>
          <w:color w:val="000000"/>
          <w:sz w:val="24"/>
          <w:szCs w:val="24"/>
          <w:highlight w:val="none"/>
        </w:rPr>
      </w:r>
      <w:r/>
    </w:p>
    <w:p>
      <w:pPr>
        <w:pStyle w:val="929"/>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val="en-US" w:eastAsia="zh-CN"/>
        </w:rPr>
        <w:t xml:space="preserve">评审方法</w:t>
      </w:r>
      <w:r>
        <w:rPr>
          <w:rFonts w:hint="eastAsia" w:ascii="宋体" w:hAnsi="宋体" w:eastAsia="宋体" w:cs="宋体"/>
          <w:b/>
          <w:bCs w:val="0"/>
          <w:color w:val="000000"/>
          <w:sz w:val="24"/>
          <w:szCs w:val="24"/>
          <w:highlight w:val="none"/>
          <w:lang w:val="en-US" w:eastAsia="zh-CN"/>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w:t>
      </w:r>
      <w:r>
        <w:rPr>
          <w:rFonts w:hint="eastAsia" w:ascii="宋体" w:hAnsi="宋体" w:eastAsia="宋体" w:cs="宋体"/>
          <w:color w:val="000000"/>
          <w:sz w:val="24"/>
          <w:szCs w:val="24"/>
          <w:highlight w:val="none"/>
          <w:lang w:val="en-US" w:eastAsia="zh-CN"/>
        </w:rPr>
        <w:t xml:space="preserve">方法</w:t>
      </w:r>
      <w:r>
        <w:rPr>
          <w:rFonts w:hint="eastAsia" w:ascii="宋体" w:hAnsi="宋体" w:eastAsia="宋体" w:cs="宋体"/>
          <w:color w:val="000000"/>
          <w:sz w:val="24"/>
          <w:szCs w:val="24"/>
          <w:highlight w:val="none"/>
        </w:rPr>
        <w:t xml:space="preserve">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lang w:eastAsia="zh-CN"/>
        </w:rPr>
      </w:r>
      <w:r/>
    </w:p>
    <w:p>
      <w:pPr>
        <w:pStyle w:val="929"/>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highlight w:val="none"/>
        </w:rPr>
      </w:r>
      <w:r/>
    </w:p>
    <w:p>
      <w:pPr>
        <w:pStyle w:val="929"/>
        <w:numPr>
          <w:ilvl w:val="0"/>
          <w:numId w:val="2"/>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价格得分（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110"/>
        <w:spacing w:line="360" w:lineRule="auto"/>
        <w:rPr>
          <w:rFonts w:hint="eastAsia" w:hAnsi="Times New Roman" w:cs="Times New Roman"/>
          <w:color w:val="000000"/>
          <w:highlight w:val="none"/>
        </w:rPr>
      </w:pPr>
      <w:r>
        <w:rPr>
          <w:rFonts w:hint="eastAsia" w:hAnsi="Times New Roman" w:cs="Times New Roman"/>
          <w:color w:val="000000"/>
          <w:highlight w:val="none"/>
        </w:rPr>
        <w:t xml:space="preserve">第一步：本次报价报的是统一优惠率，不报总价，本项目0％≤优惠率≤100％为有效报价，超出此范围的优惠率为无效报价，其</w:t>
      </w:r>
      <w:r>
        <w:rPr>
          <w:rFonts w:hint="eastAsia" w:hAnsi="Times New Roman" w:cs="Times New Roman"/>
          <w:color w:val="000000"/>
          <w:highlight w:val="none"/>
          <w:lang w:val="en-US" w:eastAsia="zh-CN"/>
        </w:rPr>
        <w:t xml:space="preserve">投标</w:t>
      </w:r>
      <w:r>
        <w:rPr>
          <w:rFonts w:hint="eastAsia" w:hAnsi="Times New Roman" w:cs="Times New Roman"/>
          <w:color w:val="000000"/>
          <w:highlight w:val="none"/>
        </w:rPr>
        <w:t xml:space="preserve">文件不予评审，也不得标。</w:t>
      </w:r>
      <w:r>
        <w:rPr>
          <w:rFonts w:hint="eastAsia" w:hAnsi="Times New Roman" w:cs="Times New Roman"/>
          <w:color w:val="000000"/>
          <w:highlight w:val="none"/>
        </w:rPr>
      </w:r>
      <w:r/>
    </w:p>
    <w:p>
      <w:pPr>
        <w:pStyle w:val="1110"/>
        <w:spacing w:line="360" w:lineRule="auto"/>
        <w:rPr>
          <w:rFonts w:hint="eastAsia" w:hAnsi="Times New Roman" w:cs="Times New Roman"/>
          <w:color w:val="000000"/>
          <w:highlight w:val="none"/>
        </w:rPr>
      </w:pPr>
      <w:r>
        <w:rPr>
          <w:rFonts w:hint="eastAsia" w:hAnsi="Times New Roman" w:cs="Times New Roman"/>
          <w:color w:val="000000"/>
          <w:highlight w:val="none"/>
        </w:rPr>
        <w:t xml:space="preserve">第二步：以满足</w:t>
      </w:r>
      <w:r>
        <w:rPr>
          <w:rFonts w:hint="eastAsia" w:hAnsi="Times New Roman" w:cs="Times New Roman"/>
          <w:color w:val="000000"/>
          <w:highlight w:val="none"/>
          <w:lang w:val="en-US" w:eastAsia="zh-CN"/>
        </w:rPr>
        <w:t xml:space="preserve">招标</w:t>
      </w:r>
      <w:r>
        <w:rPr>
          <w:rFonts w:hint="eastAsia" w:hAnsi="Times New Roman" w:cs="Times New Roman"/>
          <w:color w:val="000000"/>
          <w:highlight w:val="none"/>
        </w:rPr>
        <w:t xml:space="preserve">文件实质性要求且有效</w:t>
      </w:r>
      <w:r>
        <w:rPr>
          <w:rFonts w:hint="eastAsia" w:hAnsi="Times New Roman" w:cs="Times New Roman"/>
          <w:color w:val="000000"/>
          <w:highlight w:val="none"/>
          <w:lang w:val="en-US" w:eastAsia="zh-CN"/>
        </w:rPr>
        <w:t xml:space="preserve">报价</w:t>
      </w:r>
      <w:r>
        <w:rPr>
          <w:rFonts w:hint="eastAsia" w:hAnsi="Times New Roman" w:cs="Times New Roman"/>
          <w:color w:val="000000"/>
          <w:highlight w:val="none"/>
        </w:rPr>
        <w:t xml:space="preserve">优惠率中的最高优惠率作为评标基准优惠率，其价格分为满分。例如各</w:t>
      </w:r>
      <w:r>
        <w:rPr>
          <w:rFonts w:hint="eastAsia" w:hAnsi="Times New Roman" w:cs="Times New Roman"/>
          <w:color w:val="000000"/>
          <w:highlight w:val="none"/>
          <w:lang w:val="en-US" w:eastAsia="zh-CN"/>
        </w:rPr>
        <w:t xml:space="preserve">响应单位</w:t>
      </w:r>
      <w:r>
        <w:rPr>
          <w:rFonts w:hint="eastAsia" w:hAnsi="Times New Roman" w:cs="Times New Roman"/>
          <w:color w:val="000000"/>
          <w:highlight w:val="none"/>
        </w:rPr>
        <w:t xml:space="preserve">的响应优惠率分别为20％、25％、30％、40％，以上数字中，40％为评标基准优惠率，其报价分为满分。其他有效投标报价得分统一按照下列公式计算：（计算结果均四舍五入保留两位小数）</w:t>
      </w:r>
      <w:r>
        <w:rPr>
          <w:rFonts w:hint="eastAsia" w:hAnsi="Times New Roman" w:cs="Times New Roman"/>
          <w:color w:val="000000"/>
          <w:highlight w:val="none"/>
        </w:rPr>
      </w:r>
      <w:r/>
    </w:p>
    <w:p>
      <w:pPr>
        <w:pStyle w:val="1110"/>
        <w:spacing w:line="360" w:lineRule="auto"/>
        <w:rPr>
          <w:rFonts w:hint="eastAsia" w:ascii="宋体" w:hAnsi="宋体" w:eastAsia="宋体" w:cs="宋体"/>
          <w:b/>
          <w:bCs/>
          <w:color w:val="000000"/>
          <w:sz w:val="24"/>
          <w:szCs w:val="24"/>
          <w:highlight w:val="none"/>
        </w:rPr>
      </w:pPr>
      <w:r>
        <w:rPr>
          <w:rFonts w:hint="eastAsia" w:hAnsi="Times New Roman" w:cs="Times New Roman"/>
          <w:color w:val="000000"/>
          <w:highlight w:val="none"/>
        </w:rPr>
        <w:t xml:space="preserve">投标报价得分计算公式：价格得分=[（1-基准优惠率）/（1-</w:t>
      </w:r>
      <w:r>
        <w:rPr>
          <w:rFonts w:hint="eastAsia" w:hAnsi="Times New Roman" w:cs="Times New Roman"/>
          <w:color w:val="000000"/>
          <w:highlight w:val="none"/>
          <w:lang w:val="en-US" w:eastAsia="zh-CN"/>
        </w:rPr>
        <w:t xml:space="preserve">投标</w:t>
      </w:r>
      <w:r>
        <w:rPr>
          <w:rFonts w:hint="eastAsia" w:hAnsi="Times New Roman" w:cs="Times New Roman"/>
          <w:color w:val="000000"/>
          <w:highlight w:val="none"/>
        </w:rPr>
        <w:t xml:space="preserve">优惠率）]×价格权重</w:t>
      </w:r>
      <w:r>
        <w:rPr>
          <w:rFonts w:hint="eastAsia" w:ascii="宋体" w:hAnsi="宋体" w:eastAsia="宋体" w:cs="宋体"/>
          <w:b/>
          <w:bCs/>
          <w:color w:val="000000"/>
          <w:sz w:val="24"/>
          <w:szCs w:val="24"/>
          <w:highlight w:val="none"/>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（二）针对本项目的服务工作方案比较（</w:t>
      </w: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1、对服务工作的总体设想、方案针对性、总体部署及施工段划分比较：内容描述全面详细、科学合理、针对性及可操作性强的得</w:t>
      </w: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t xml:space="preserve">；内容描述较详细、较为科学合理、针对性及可操作性较强的得</w:t>
      </w:r>
      <w:r>
        <w:rPr>
          <w:rFonts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t xml:space="preserve">分；内容描述较简单、针对性及可操作性一般的得</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分；内容描述较差、针对性及可操作性差的得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2、施工现场平面布置和临时设施布置方案比较：方案描述全面详细、科学合理、针对性及可操作性强的得</w:t>
      </w:r>
      <w:r>
        <w:rPr>
          <w:rFonts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t xml:space="preserve">分；方案描述较详细、较为科学合理、针对性及可操作性较强的得</w:t>
      </w:r>
      <w:r>
        <w:rPr>
          <w:rFonts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t xml:space="preserve">分；方案描述较简单、针对性及可操作性一般的得</w:t>
      </w: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t xml:space="preserve">分；方案描述较差、针对性及可操作性差的得</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3、施工进度计划和各阶段进度的保证措施比较：描述全面详细、科学合理、针对性及可操作性强的得</w:t>
      </w:r>
      <w:r>
        <w:rPr>
          <w:rFonts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t xml:space="preserve">分；描述较详细、较为科学合理、针对性及可操作性较强的得</w:t>
      </w:r>
      <w:r>
        <w:rPr>
          <w:rFonts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t xml:space="preserve">分；描述较简单、针对性及可操作性一般的得</w:t>
      </w: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t xml:space="preserve">分；描述较差、针对性及可操作性差的得</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分部、分项工程的施工方案：该工程分部分项工程的施工方案、具体施工技术措施比较。工程分部分项工程的施工方案、具体施工技术措施科学合理、操作性强、规范、高效的得8分；工程分部分项工程的施工方案、具体施工技术措施较为科学合理、操作性较强的得5分；工程分部分项工程的施工方案、具体施工技术措施一般、操作性一般的得2分，未提供不得分。 </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5、服务期内质量安全保证措施比较：描述全面详细、科学合理、针对性及可操作性强的得</w:t>
      </w:r>
      <w:r>
        <w:rPr>
          <w:rFonts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t xml:space="preserve">分；描述较详细、较为科学合理、针对性及可操作性较强的得</w:t>
      </w:r>
      <w:r>
        <w:rPr>
          <w:rFonts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t xml:space="preserve">分；描述较简单、针对性及可操作性一般的得</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安全文明施工措施、扬尘污染防治措施及噪音控制的措施比较：描述全面详细、科学合理、针对性及可操作性强的得6分；描述较详细、较为科学合理、针对性及可操作性较强的得4分；描述较简单、针对性及可操作性一般的得</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7、施工工作计划的科学性、合理性比较（内容至少包括特殊季节或天气防范措施等</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，内容完善突出、可操作性强、正确完整阐述并有可实施方案的得</w:t>
      </w:r>
      <w:r>
        <w:rPr>
          <w:rFonts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t xml:space="preserve">分；内容比较完善突出、可操作性比较强、比较正确完整阐述并有可实施方案的得</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分；内容一般、可操作性一般、未完整阐述的得2分，未提供不得分。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机械设备的投入：用于该工程的机械及各种设备，及施工过程中的主要设备的使用管理等内容比较：机械设备投入完善科学、使用便捷快速、管理方案完善科学的得6分；设备投入较完善合理、管理方案较完善的得4分；设备投入方案不够完整、管理方案有所欠缺的得2分，未提供不得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突发事件的应急情况及相关应急措施比较：描述全面详细、科学合理、针对性及可操作性强的得8分；描述较详细、较为科学合理、针对性及可操作性较强的得6分；描述较简单、针对性及可操作性一般的得4分；描述较差、针对性及可操作性差的得2分，未提供不得分。</w:t>
      </w:r>
      <w:r>
        <w:rPr>
          <w:rFonts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t xml:space="preserve">、作业人员的技术培训方案及安全教育(8分)。</w:t>
      </w:r>
      <w:r>
        <w:rPr>
          <w:rFonts w:hint="eastAsia" w:ascii="宋体" w:hAnsi="宋体" w:eastAsia="宋体" w:cs="宋体"/>
          <w:color w:val="000000"/>
          <w:sz w:val="24"/>
          <w:szCs w:val="24"/>
          <w:highlight w:val="none"/>
          <w:lang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方案完整详细，措施有效扎实，有针对性得8分；方案不甚详细，较有可行性及针对性得5分；方案不全面、内容简单，可行性及针对性低得2分。未提供不得分。</w:t>
      </w:r>
      <w:r>
        <w:rPr>
          <w:rFonts w:hint="eastAsia" w:ascii="宋体" w:hAnsi="宋体" w:eastAsia="宋体" w:cs="宋体"/>
          <w:color w:val="000000"/>
          <w:sz w:val="24"/>
          <w:szCs w:val="24"/>
          <w:highlight w:val="none"/>
          <w:lang w:bidi="ar"/>
        </w:rPr>
      </w:r>
      <w:r/>
    </w:p>
    <w:p>
      <w:pPr>
        <w:pStyle w:val="92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响应单位综合实力（</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29"/>
        <w:ind w:firstLine="480"/>
        <w:spacing w:line="360" w:lineRule="auto"/>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1、响应单位拟投入的技术人员中具有证书(施工员、安全员、质量员、材料员、资料员)的，有一个得1分，最高得</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w:t>
      </w:r>
      <w:r>
        <w:rPr>
          <w:rFonts w:ascii="宋体" w:hAnsi="宋体" w:eastAsia="宋体" w:cs="宋体"/>
          <w:color w:val="000000"/>
          <w:sz w:val="24"/>
          <w:szCs w:val="24"/>
          <w:highlight w:val="none"/>
          <w:lang w:val="en-US" w:eastAsia="zh-CN" w:bidi="ar"/>
        </w:rPr>
      </w:r>
      <w:r/>
    </w:p>
    <w:p>
      <w:pPr>
        <w:pStyle w:val="929"/>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2、项目组人员配备：项目组人员中具有中级及以上工程师职称的，每提供一人得1分，最高6分</w:t>
      </w:r>
      <w:r>
        <w:rPr>
          <w:rFonts w:hint="eastAsia" w:ascii="宋体" w:hAnsi="宋体" w:eastAsia="宋体" w:cs="宋体"/>
          <w:color w:val="000000"/>
          <w:sz w:val="24"/>
          <w:szCs w:val="24"/>
          <w:highlight w:val="none"/>
          <w:lang w:bidi="ar"/>
        </w:rPr>
      </w:r>
      <w:r/>
    </w:p>
    <w:p>
      <w:pPr>
        <w:pStyle w:val="929"/>
        <w:ind w:firstLine="480"/>
        <w:spacing w:line="360" w:lineRule="auto"/>
        <w:tabs>
          <w:tab w:val="left" w:pos="2870" w:leader="none"/>
        </w:tabs>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rPr>
        <w:t xml:space="preserve">注：响应文件中需提供</w:t>
      </w:r>
      <w:r>
        <w:rPr>
          <w:rFonts w:hint="eastAsia" w:ascii="宋体" w:hAnsi="宋体" w:eastAsia="宋体" w:cs="宋体"/>
          <w:color w:val="000000"/>
          <w:sz w:val="24"/>
          <w:szCs w:val="24"/>
          <w:highlight w:val="none"/>
          <w:lang w:val="en-US" w:eastAsia="zh-CN"/>
        </w:rPr>
        <w:t xml:space="preserve">上述1-2项</w:t>
      </w:r>
      <w:r>
        <w:rPr>
          <w:rFonts w:hint="eastAsia" w:ascii="宋体" w:hAnsi="宋体" w:eastAsia="宋体" w:cs="宋体"/>
          <w:color w:val="000000"/>
          <w:sz w:val="24"/>
          <w:szCs w:val="24"/>
          <w:highlight w:val="none"/>
        </w:rPr>
        <w:t xml:space="preserve">人员证书复印件</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响应单位为</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员工缴纳最近一</w:t>
      </w:r>
      <w:r>
        <w:rPr>
          <w:rFonts w:hint="eastAsia" w:ascii="宋体" w:hAnsi="宋体" w:eastAsia="宋体" w:cs="宋体"/>
          <w:color w:val="000000"/>
          <w:sz w:val="24"/>
          <w:szCs w:val="24"/>
          <w:highlight w:val="none"/>
          <w:lang w:val="en-US" w:eastAsia="zh-CN"/>
        </w:rPr>
        <w:t xml:space="preserve">个月</w:t>
      </w:r>
      <w:r>
        <w:rPr>
          <w:rFonts w:hint="eastAsia" w:ascii="宋体" w:hAnsi="宋体" w:eastAsia="宋体" w:cs="宋体"/>
          <w:color w:val="000000"/>
          <w:sz w:val="24"/>
          <w:szCs w:val="24"/>
          <w:highlight w:val="none"/>
        </w:rPr>
        <w:t xml:space="preserve">的社保证明复印件，未按要求提供或不提供不得分。</w:t>
      </w:r>
      <w:r>
        <w:rPr>
          <w:rFonts w:hint="eastAsia" w:ascii="宋体" w:hAnsi="宋体" w:eastAsia="宋体" w:cs="宋体"/>
          <w:color w:val="000000"/>
          <w:sz w:val="24"/>
          <w:szCs w:val="24"/>
          <w:highlight w:val="none"/>
          <w:lang w:eastAsia="zh-TW"/>
        </w:rPr>
      </w:r>
      <w:r/>
    </w:p>
    <w:p>
      <w:pPr>
        <w:pStyle w:val="929"/>
        <w:numPr>
          <w:ilvl w:val="0"/>
          <w:numId w:val="3"/>
        </w:numPr>
        <w:ind w:left="-18"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响应单位具有有效期内的质量管理体系、环境管理体系、职业健康安全管理体系认证的，有一个得1分，最高3分。</w:t>
      </w:r>
      <w:r>
        <w:rPr>
          <w:rFonts w:hint="eastAsia" w:ascii="宋体" w:hAnsi="宋体" w:eastAsia="宋体" w:cs="宋体"/>
          <w:color w:val="000000"/>
          <w:sz w:val="24"/>
          <w:szCs w:val="24"/>
          <w:highlight w:val="none"/>
          <w:lang w:bidi="ar"/>
        </w:rPr>
      </w:r>
      <w:r/>
    </w:p>
    <w:p>
      <w:pPr>
        <w:pStyle w:val="929"/>
        <w:numPr>
          <w:ilvl w:val="0"/>
          <w:numId w:val="0"/>
        </w:numPr>
        <w:ind w:firstLine="48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注：响应文件中</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bidi="ar"/>
        </w:rPr>
        <w:t xml:space="preserve">提供</w:t>
      </w:r>
      <w:r>
        <w:rPr>
          <w:rFonts w:hint="eastAsia" w:ascii="宋体" w:hAnsi="宋体" w:eastAsia="宋体" w:cs="宋体"/>
          <w:color w:val="000000"/>
          <w:sz w:val="24"/>
          <w:szCs w:val="24"/>
          <w:highlight w:val="none"/>
          <w:lang w:val="en-US" w:eastAsia="zh-CN" w:bidi="ar"/>
        </w:rPr>
        <w:t xml:space="preserve">上述</w:t>
      </w:r>
      <w:r>
        <w:rPr>
          <w:rFonts w:hint="eastAsia" w:ascii="宋体" w:hAnsi="宋体" w:eastAsia="宋体" w:cs="宋体"/>
          <w:color w:val="000000"/>
          <w:sz w:val="24"/>
          <w:szCs w:val="24"/>
          <w:highlight w:val="none"/>
          <w:lang w:bidi="ar"/>
        </w:rPr>
        <w:t xml:space="preserve">证</w:t>
      </w:r>
      <w:r>
        <w:rPr>
          <w:rFonts w:hint="eastAsia" w:ascii="宋体" w:hAnsi="宋体" w:eastAsia="宋体" w:cs="宋体"/>
          <w:color w:val="000000"/>
          <w:sz w:val="24"/>
          <w:szCs w:val="24"/>
          <w:highlight w:val="none"/>
          <w:lang w:val="en-US" w:eastAsia="zh-CN" w:bidi="ar"/>
        </w:rPr>
        <w:t xml:space="preserve">书</w:t>
      </w:r>
      <w:r>
        <w:rPr>
          <w:rFonts w:hint="eastAsia" w:ascii="宋体" w:hAnsi="宋体" w:eastAsia="宋体" w:cs="宋体"/>
          <w:color w:val="000000"/>
          <w:sz w:val="24"/>
          <w:szCs w:val="24"/>
          <w:highlight w:val="none"/>
          <w:lang w:bidi="ar"/>
        </w:rPr>
        <w:t xml:space="preserve">复印件</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中国国家认证认可监督管理委员会网站上查询的页面截图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未按要求提供或不提供不得分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929"/>
        <w:numPr>
          <w:ilvl w:val="0"/>
          <w:numId w:val="3"/>
        </w:numPr>
        <w:ind w:left="-18" w:firstLine="480"/>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响应单位自2021年1月1日（以合同竣工时间为准）至今承担过类似项目服务经验的，每提供一份业绩</w:t>
      </w:r>
      <w:r>
        <w:rPr>
          <w:rFonts w:hint="eastAsia" w:ascii="宋体" w:hAnsi="宋体" w:eastAsia="宋体" w:cs="宋体"/>
          <w:color w:val="000000"/>
          <w:sz w:val="24"/>
          <w:szCs w:val="24"/>
          <w:highlight w:val="none"/>
          <w:lang w:bidi="ar"/>
        </w:rPr>
        <w:t xml:space="preserve">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分，最高得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29"/>
        <w:numPr>
          <w:ilvl w:val="0"/>
          <w:numId w:val="0"/>
        </w:numPr>
        <w:ind w:left="480"/>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注：</w:t>
      </w:r>
      <w:r>
        <w:rPr>
          <w:rFonts w:hint="eastAsia" w:ascii="宋体" w:hAnsi="宋体" w:eastAsia="宋体" w:cs="宋体"/>
          <w:color w:val="000000"/>
          <w:sz w:val="24"/>
          <w:szCs w:val="24"/>
          <w:highlight w:val="none"/>
          <w:lang w:val="en-US" w:eastAsia="zh-CN" w:bidi="ar"/>
        </w:rPr>
        <w:t xml:space="preserve">响应文件中</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bidi="ar"/>
        </w:rPr>
        <w:t xml:space="preserve">提供</w:t>
      </w:r>
      <w:r>
        <w:rPr>
          <w:rFonts w:hint="eastAsia" w:ascii="宋体" w:hAnsi="宋体" w:eastAsia="宋体" w:cs="宋体"/>
          <w:color w:val="000000"/>
          <w:sz w:val="24"/>
          <w:szCs w:val="24"/>
          <w:highlight w:val="none"/>
          <w:lang w:val="en-US" w:eastAsia="zh-CN" w:bidi="ar"/>
        </w:rPr>
        <w:t xml:space="preserve">合同复印件及竣工验收单，</w:t>
      </w:r>
      <w:r>
        <w:rPr>
          <w:rFonts w:hint="eastAsia" w:ascii="宋体" w:hAnsi="宋体" w:eastAsia="宋体" w:cs="宋体"/>
          <w:color w:val="000000"/>
          <w:sz w:val="24"/>
          <w:szCs w:val="24"/>
          <w:highlight w:val="none"/>
        </w:rPr>
        <w:t xml:space="preserve">未按要求提供或不提供不得分</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r>
      <w:r/>
    </w:p>
    <w:p>
      <w:pPr>
        <w:pStyle w:val="929"/>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ind w:firstLine="480"/>
        <w:spacing w:line="360" w:lineRule="auto"/>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w:t>
      </w:r>
      <w:r>
        <w:rPr>
          <w:rFonts w:ascii="宋体" w:hAnsi="宋体" w:eastAsia="宋体" w:cs="宋体"/>
          <w:color w:val="000000"/>
          <w:sz w:val="24"/>
          <w:szCs w:val="24"/>
          <w:highlight w:val="none"/>
        </w:rPr>
      </w:r>
      <w:r/>
    </w:p>
    <w:p>
      <w:pPr>
        <w:pStyle w:val="929"/>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、其他评审未尽事宜由评审委员会根据有关规定讨论决定。</w:t>
      </w:r>
      <w:r>
        <w:rPr>
          <w:rFonts w:hint="eastAsia" w:ascii="宋体" w:hAnsi="宋体" w:eastAsia="宋体" w:cs="宋体"/>
          <w:color w:val="000000"/>
          <w:sz w:val="24"/>
          <w:szCs w:val="24"/>
          <w:highlight w:val="none"/>
        </w:rPr>
      </w:r>
      <w:r/>
    </w:p>
    <w:p>
      <w:pPr>
        <w:pStyle w:val="92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ind w:left="0" w:firstLine="482"/>
        <w:spacing w:line="360" w:lineRule="auto"/>
        <w:widowControl w:val="off"/>
        <w:rPr>
          <w:rStyle w:val="1044"/>
          <w:rFonts w:hint="eastAsia" w:ascii="宋体" w:hAnsi="宋体" w:eastAsia="宋体" w:cs="宋体"/>
          <w:b/>
          <w:bCs w:val="0"/>
          <w:color w:val="000000"/>
          <w:sz w:val="24"/>
          <w:szCs w:val="24"/>
          <w:highlight w:val="none"/>
          <w:lang w:val="en-US" w:eastAsia="zh-CN"/>
        </w:rPr>
      </w:pPr>
      <w:r>
        <w:rPr>
          <w:rStyle w:val="1044"/>
          <w:rFonts w:hint="eastAsia" w:ascii="宋体" w:hAnsi="宋体" w:eastAsia="宋体" w:cs="宋体"/>
          <w:b/>
          <w:bCs w:val="0"/>
          <w:color w:val="000000"/>
          <w:sz w:val="24"/>
          <w:szCs w:val="24"/>
          <w:highlight w:val="none"/>
          <w:lang w:val="en-US" w:eastAsia="zh-CN"/>
        </w:rPr>
        <w:t xml:space="preserve">三、政府采购政策： </w:t>
      </w:r>
      <w:r>
        <w:rPr>
          <w:rStyle w:val="1044"/>
          <w:rFonts w:hint="eastAsia" w:ascii="宋体" w:hAnsi="宋体" w:eastAsia="宋体" w:cs="宋体"/>
          <w:b/>
          <w:bCs w:val="0"/>
          <w:color w:val="000000"/>
          <w:sz w:val="24"/>
          <w:szCs w:val="24"/>
          <w:highlight w:val="none"/>
          <w:lang w:val="en-US" w:eastAsia="zh-CN"/>
        </w:rPr>
      </w:r>
      <w:r/>
    </w:p>
    <w:p>
      <w:pPr>
        <w:pStyle w:val="929"/>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针对中小型企业的评审：</w:t>
      </w:r>
      <w:r>
        <w:rPr>
          <w:rFonts w:hint="eastAsia" w:ascii="宋体" w:hAnsi="宋体" w:eastAsia="宋体" w:cs="宋体"/>
          <w:color w:val="000000"/>
          <w:sz w:val="24"/>
          <w:szCs w:val="24"/>
          <w:highlight w:val="none"/>
        </w:rPr>
      </w:r>
      <w:r/>
    </w:p>
    <w:p>
      <w:pPr>
        <w:pStyle w:val="929"/>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（1）本项目专门面向中小企业采购。</w:t>
      </w:r>
      <w:r>
        <w:rPr>
          <w:rFonts w:hint="eastAsia" w:ascii="宋体" w:hAnsi="宋体" w:eastAsia="宋体" w:cs="宋体"/>
          <w:b/>
          <w:bCs w:val="0"/>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小微企业不得将合同分包给大中型企业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中型企业不得将合同分包给大型企业。</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044"/>
          <w:rFonts w:hint="eastAsia" w:ascii="宋体" w:hAnsi="宋体" w:eastAsia="宋体" w:cs="宋体"/>
          <w:bCs/>
          <w:color w:val="000000"/>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供应商提供的货物既有中小企业制造货物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也有大型企业制造货物的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按政府采购相关规定处理并报请政府监管部门给予行政处罚。</w:t>
      </w:r>
      <w:r>
        <w:rPr>
          <w:rFonts w:hint="eastAsia" w:ascii="宋体" w:hAnsi="宋体" w:eastAsia="宋体" w:cs="宋体"/>
          <w:bCs/>
          <w:color w:val="000000"/>
          <w:sz w:val="24"/>
          <w:szCs w:val="24"/>
          <w:highlight w:val="none"/>
        </w:rPr>
      </w:r>
      <w:r/>
    </w:p>
    <w:p>
      <w:pPr>
        <w:pStyle w:val="92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未按</w:t>
      </w:r>
      <w:r>
        <w:rPr>
          <w:rFonts w:hint="eastAsia" w:ascii="宋体" w:hAnsi="宋体" w:eastAsia="宋体" w:cs="宋体"/>
          <w:b w:val="0"/>
          <w:bCs w:val="0"/>
          <w:color w:val="000000"/>
          <w:sz w:val="24"/>
          <w:szCs w:val="24"/>
          <w:highlight w:val="none"/>
        </w:rPr>
        <w:t xml:space="preserve">本项目采购标的对应的中小企业划型标准规定所属行业</w:t>
      </w:r>
      <w:r>
        <w:rPr>
          <w:rFonts w:hint="eastAsia" w:ascii="宋体" w:hAnsi="宋体" w:eastAsia="宋体" w:cs="宋体"/>
          <w:b w:val="0"/>
          <w:bCs w:val="0"/>
          <w:color w:val="000000"/>
          <w:sz w:val="24"/>
          <w:szCs w:val="24"/>
          <w:highlight w:val="none"/>
          <w:lang w:eastAsia="zh-CN"/>
        </w:rPr>
        <w:t xml:space="preserve">承诺的</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lang w:eastAsia="zh-CN"/>
        </w:rPr>
        <w:t xml:space="preserve">为无效</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、针对监狱企业的评审：</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对属于监狱企业的供应商给予评审：</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、针对残疾人福利性单位的评审：</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若供应商提供的《残疾人福利性单位声明函》与事实不符的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依照《政府采购法》第七十七条第一款的规定追究法律责任。</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采购代理机构将随中标结果同时公告其《残疾人福利性单位声明函》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接受社会监督。</w:t>
      </w:r>
      <w:r>
        <w:rPr>
          <w:rFonts w:hint="eastAsia" w:ascii="宋体" w:hAnsi="宋体" w:eastAsia="宋体" w:cs="宋体"/>
          <w:color w:val="000000"/>
          <w:sz w:val="24"/>
          <w:szCs w:val="24"/>
          <w:highlight w:val="none"/>
        </w:rPr>
      </w:r>
      <w:r/>
    </w:p>
    <w:p>
      <w:pPr>
        <w:pStyle w:val="929"/>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、上述针对中小型企业、监狱企业和残疾人福利性单位的评审政策不重复享受。</w:t>
      </w:r>
      <w:r>
        <w:rPr>
          <w:rFonts w:hint="eastAsia" w:ascii="宋体" w:hAnsi="宋体" w:eastAsia="宋体" w:cs="宋体"/>
          <w:b/>
          <w:color w:val="000000"/>
          <w:sz w:val="24"/>
          <w:szCs w:val="24"/>
          <w:highlight w:val="none"/>
        </w:rPr>
      </w:r>
      <w:r/>
    </w:p>
    <w:p>
      <w:pPr>
        <w:pStyle w:val="929"/>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（全文完）</w:t>
      </w:r>
      <w:r/>
    </w:p>
    <w:sectPr>
      <w:footnotePr/>
      <w:endnotePr/>
      <w:type w:val="nextPage"/>
      <w:pgSz w:w="11906" w:h="16838" w:orient="portrait"/>
      <w:pgMar w:top="1134" w:right="1134" w:bottom="1134" w:left="1134" w:header="851"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细黑">
    <w:panose1 w:val="02010600040101010101"/>
  </w:font>
  <w:font w:name="Cambria">
    <w:panose1 w:val="02040503050406030204"/>
  </w:font>
  <w:font w:name="Calibri">
    <w:panose1 w:val="020F0502020204030204"/>
  </w:font>
  <w:font w:name="Batang">
    <w:panose1 w:val="02010600040101010101"/>
  </w:font>
  <w:font w:name="微软雅黑">
    <w:panose1 w:val="020B0503020204020204"/>
  </w:font>
  <w:font w:name="Courier New">
    <w:panose1 w:val="020703090202050204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360"/>
      <w:tabs>
        <w:tab w:val="center" w:pos="4819"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tabs>
        <w:tab w:val="center" w:pos="4153" w:leader="none"/>
        <w:tab w:val="right" w:pos="8306" w:leader="none"/>
      </w:tabs>
      <w:rPr>
        <w:rFonts w:hint="eastAsia" w:ascii="宋体" w:hAnsi="宋体" w:eastAsia="宋体" w:cs="宋体"/>
        <w:lang w:val="en-US" w:eastAsia="zh-CN"/>
      </w:rPr>
    </w:pPr>
    <w:r>
      <w:rPr>
        <w:rFonts w:hint="eastAsia" w:ascii="宋体" w:hAnsi="宋体" w:cs="宋体"/>
        <w:lang w:val="en-US" w:eastAsia="zh-CN"/>
      </w:rPr>
      <w:t xml:space="preserve">政府</w:t>
    </w:r>
    <w:r>
      <w:rPr>
        <w:rFonts w:hint="eastAsia" w:ascii="宋体" w:hAnsi="宋体" w:eastAsia="宋体" w:cs="宋体"/>
        <w:lang w:val="en-US" w:eastAsia="zh-CN"/>
      </w:rPr>
      <w:t xml:space="preserve">采购文件                                              </w:t>
    </w:r>
    <w:r>
      <w:rPr>
        <w:rFonts w:hint="eastAsia" w:ascii="宋体" w:hAnsi="宋体" w:cs="宋体"/>
        <w:lang w:val="en-US" w:eastAsia="zh-CN"/>
      </w:rPr>
      <w:t xml:space="preserve">          </w:t>
    </w:r>
    <w:r>
      <w:rPr>
        <w:rFonts w:ascii="宋体" w:hAnsi="宋体"/>
      </w:rPr>
      <w:t xml:space="preserve"> </w:t>
    </w:r>
    <w:r>
      <w:rPr>
        <w:rFonts w:hint="eastAsia" w:ascii="宋体" w:hAnsi="宋体"/>
      </w:rPr>
      <w:t xml:space="preserve">项目编号：</w:t>
    </w:r>
    <w:r>
      <w:rPr>
        <w:rFonts w:hint="eastAsia" w:ascii="宋体" w:hAnsi="宋体" w:cs="宋体"/>
        <w:lang w:val="en-US" w:eastAsia="zh-CN"/>
      </w:rPr>
      <w:t xml:space="preserve">JSZC-320506-SZZJ-C2025-0056</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29"/>
        <w:ind w:left="-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29"/>
    <w:next w:val="929"/>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29"/>
    <w:next w:val="929"/>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29"/>
    <w:next w:val="929"/>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29"/>
    <w:next w:val="929"/>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29"/>
    <w:next w:val="929"/>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9"/>
    <w:next w:val="929"/>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9"/>
    <w:next w:val="929"/>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9"/>
    <w:next w:val="929"/>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9"/>
    <w:next w:val="929"/>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rFonts w:eastAsia="楷体_GB2312"/>
      <w:sz w:val="26"/>
      <w:lang w:val="en-US" w:eastAsia="zh-CN" w:bidi="ar-SA"/>
    </w:rPr>
  </w:style>
  <w:style w:type="paragraph" w:styleId="930">
    <w:name w:val="标题 1"/>
    <w:basedOn w:val="929"/>
    <w:next w:val="929"/>
    <w:link w:val="941"/>
    <w:qFormat/>
    <w:pPr>
      <w:keepLines/>
      <w:keepNext/>
      <w:spacing w:before="340" w:after="330" w:line="578" w:lineRule="auto"/>
      <w:outlineLvl w:val="0"/>
    </w:pPr>
    <w:rPr>
      <w:b/>
      <w:sz w:val="44"/>
    </w:rPr>
  </w:style>
  <w:style w:type="paragraph" w:styleId="931">
    <w:name w:val="标题 2"/>
    <w:basedOn w:val="929"/>
    <w:next w:val="929"/>
    <w:link w:val="942"/>
    <w:qFormat/>
    <w:pPr>
      <w:jc w:val="left"/>
      <w:keepLines/>
      <w:keepNext/>
      <w:outlineLvl w:val="1"/>
    </w:pPr>
    <w:rPr>
      <w:rFonts w:ascii="宋体" w:hAnsi="宋体"/>
      <w:b/>
    </w:rPr>
  </w:style>
  <w:style w:type="paragraph" w:styleId="932">
    <w:name w:val="标题 3"/>
    <w:basedOn w:val="929"/>
    <w:next w:val="929"/>
    <w:link w:val="943"/>
    <w:qFormat/>
    <w:pPr>
      <w:jc w:val="left"/>
      <w:keepLines/>
      <w:keepNext/>
      <w:outlineLvl w:val="2"/>
    </w:pPr>
    <w:rPr>
      <w:b/>
    </w:rPr>
  </w:style>
  <w:style w:type="paragraph" w:styleId="933">
    <w:name w:val="标题 4"/>
    <w:basedOn w:val="929"/>
    <w:next w:val="929"/>
    <w:link w:val="944"/>
    <w:qFormat/>
    <w:pPr>
      <w:keepLines/>
      <w:keepNext/>
      <w:spacing w:before="280" w:after="290" w:line="376" w:lineRule="auto"/>
      <w:outlineLvl w:val="3"/>
    </w:pPr>
    <w:rPr>
      <w:rFonts w:ascii="Arial" w:hAnsi="Arial" w:eastAsia="黑体"/>
      <w:b/>
      <w:bCs/>
      <w:sz w:val="28"/>
      <w:szCs w:val="28"/>
    </w:rPr>
  </w:style>
  <w:style w:type="paragraph" w:styleId="934">
    <w:name w:val="标题 5"/>
    <w:basedOn w:val="929"/>
    <w:next w:val="929"/>
    <w:link w:val="945"/>
    <w:qFormat/>
    <w:pPr>
      <w:jc w:val="left"/>
      <w:keepLines/>
      <w:keepNext/>
      <w:spacing w:before="280" w:after="290" w:line="376" w:lineRule="atLeast"/>
      <w:outlineLvl w:val="4"/>
    </w:pPr>
    <w:rPr>
      <w:rFonts w:ascii="宋体" w:hAnsi="Tms Rmn" w:eastAsia="宋体"/>
      <w:b/>
      <w:sz w:val="28"/>
    </w:rPr>
  </w:style>
  <w:style w:type="paragraph" w:styleId="935">
    <w:name w:val="标题 6"/>
    <w:basedOn w:val="929"/>
    <w:next w:val="929"/>
    <w:link w:val="946"/>
    <w:qFormat/>
    <w:pPr>
      <w:jc w:val="left"/>
      <w:keepLines/>
      <w:keepNext/>
      <w:spacing w:before="240" w:after="64" w:line="320" w:lineRule="atLeast"/>
      <w:outlineLvl w:val="5"/>
    </w:pPr>
    <w:rPr>
      <w:rFonts w:ascii="黑体" w:hAnsi="Tms Rmn" w:eastAsia="黑体"/>
      <w:b/>
      <w:sz w:val="24"/>
    </w:rPr>
  </w:style>
  <w:style w:type="paragraph" w:styleId="936">
    <w:name w:val="标题 7"/>
    <w:basedOn w:val="929"/>
    <w:next w:val="929"/>
    <w:link w:val="947"/>
    <w:qFormat/>
    <w:pPr>
      <w:jc w:val="left"/>
      <w:keepLines/>
      <w:keepNext/>
      <w:spacing w:before="240" w:after="64" w:line="320" w:lineRule="atLeast"/>
      <w:outlineLvl w:val="6"/>
    </w:pPr>
    <w:rPr>
      <w:rFonts w:ascii="宋体" w:hAnsi="Tms Rmn" w:eastAsia="宋体"/>
      <w:b/>
      <w:sz w:val="24"/>
    </w:rPr>
  </w:style>
  <w:style w:type="paragraph" w:styleId="937">
    <w:name w:val="标题 8"/>
    <w:basedOn w:val="929"/>
    <w:next w:val="929"/>
    <w:link w:val="948"/>
    <w:qFormat/>
    <w:pPr>
      <w:keepLines/>
      <w:keepNext/>
      <w:spacing w:before="240" w:after="64" w:line="320" w:lineRule="auto"/>
      <w:outlineLvl w:val="7"/>
    </w:pPr>
    <w:rPr>
      <w:rFonts w:ascii="Arial" w:hAnsi="Arial" w:eastAsia="黑体"/>
      <w:sz w:val="24"/>
      <w:szCs w:val="24"/>
    </w:rPr>
  </w:style>
  <w:style w:type="paragraph" w:styleId="938">
    <w:name w:val="标题 9"/>
    <w:basedOn w:val="929"/>
    <w:next w:val="929"/>
    <w:link w:val="949"/>
    <w:qFormat/>
    <w:pPr>
      <w:keepLines/>
      <w:keepNext/>
      <w:spacing w:before="240" w:after="64" w:line="320" w:lineRule="auto"/>
      <w:outlineLvl w:val="8"/>
    </w:pPr>
    <w:rPr>
      <w:rFonts w:ascii="Arial" w:hAnsi="Arial" w:eastAsia="黑体"/>
      <w:sz w:val="24"/>
      <w:szCs w:val="21"/>
    </w:rPr>
  </w:style>
  <w:style w:type="character" w:styleId="939">
    <w:name w:val="默认段落字体"/>
    <w:next w:val="939"/>
    <w:link w:val="929"/>
    <w:rPr>
      <w:rFonts w:ascii="Tahoma" w:hAnsi="Tahoma" w:eastAsia="宋体"/>
      <w:sz w:val="24"/>
    </w:rPr>
  </w:style>
  <w:style w:type="table" w:styleId="940">
    <w:name w:val="普通表格"/>
    <w:next w:val="940"/>
    <w:link w:val="929"/>
    <w:uiPriority w:val="99"/>
    <w:unhideWhenUsed/>
    <w:tblPr/>
  </w:style>
  <w:style w:type="character" w:styleId="941">
    <w:name w:val="标题 1 字符"/>
    <w:next w:val="941"/>
    <w:link w:val="930"/>
    <w:rPr>
      <w:rFonts w:ascii="Times New Roman" w:hAnsi="Times New Roman" w:eastAsia="楷体_GB2312" w:cs="Times New Roman"/>
      <w:b/>
      <w:sz w:val="44"/>
      <w:szCs w:val="20"/>
    </w:rPr>
  </w:style>
  <w:style w:type="character" w:styleId="942">
    <w:name w:val="标题 2 字符"/>
    <w:next w:val="942"/>
    <w:link w:val="931"/>
    <w:rPr>
      <w:rFonts w:ascii="宋体" w:hAnsi="宋体" w:eastAsia="楷体_GB2312" w:cs="Times New Roman"/>
      <w:b/>
      <w:sz w:val="26"/>
      <w:szCs w:val="20"/>
    </w:rPr>
  </w:style>
  <w:style w:type="character" w:styleId="943">
    <w:name w:val="标题 3 字符"/>
    <w:next w:val="943"/>
    <w:link w:val="932"/>
    <w:rPr>
      <w:rFonts w:ascii="Times New Roman" w:hAnsi="Times New Roman" w:eastAsia="楷体_GB2312" w:cs="Times New Roman"/>
      <w:b/>
      <w:sz w:val="26"/>
      <w:szCs w:val="20"/>
    </w:rPr>
  </w:style>
  <w:style w:type="character" w:styleId="944">
    <w:name w:val="标题 4 字符"/>
    <w:next w:val="944"/>
    <w:link w:val="933"/>
    <w:rPr>
      <w:rFonts w:ascii="Arial" w:hAnsi="Arial" w:eastAsia="黑体" w:cs="Times New Roman"/>
      <w:b/>
      <w:bCs/>
      <w:sz w:val="28"/>
      <w:szCs w:val="28"/>
    </w:rPr>
  </w:style>
  <w:style w:type="character" w:styleId="945">
    <w:name w:val="标题 5 字符"/>
    <w:next w:val="945"/>
    <w:link w:val="934"/>
    <w:rPr>
      <w:rFonts w:ascii="宋体" w:hAnsi="Tms Rmn" w:eastAsia="宋体" w:cs="Times New Roman"/>
      <w:b/>
      <w:sz w:val="28"/>
      <w:szCs w:val="20"/>
    </w:rPr>
  </w:style>
  <w:style w:type="character" w:styleId="946">
    <w:name w:val="标题 6 字符"/>
    <w:next w:val="946"/>
    <w:link w:val="935"/>
    <w:rPr>
      <w:rFonts w:ascii="黑体" w:hAnsi="Tms Rmn" w:eastAsia="黑体" w:cs="Times New Roman"/>
      <w:b/>
      <w:sz w:val="24"/>
      <w:szCs w:val="20"/>
    </w:rPr>
  </w:style>
  <w:style w:type="character" w:styleId="947">
    <w:name w:val="标题 7 字符"/>
    <w:next w:val="947"/>
    <w:link w:val="936"/>
    <w:rPr>
      <w:rFonts w:ascii="宋体" w:hAnsi="Tms Rmn" w:eastAsia="宋体" w:cs="Times New Roman"/>
      <w:b/>
      <w:sz w:val="24"/>
      <w:szCs w:val="20"/>
    </w:rPr>
  </w:style>
  <w:style w:type="character" w:styleId="948">
    <w:name w:val="标题 8 字符"/>
    <w:next w:val="948"/>
    <w:link w:val="937"/>
    <w:rPr>
      <w:rFonts w:ascii="Arial" w:hAnsi="Arial" w:eastAsia="黑体" w:cs="Times New Roman"/>
      <w:sz w:val="24"/>
      <w:szCs w:val="24"/>
    </w:rPr>
  </w:style>
  <w:style w:type="character" w:styleId="949">
    <w:name w:val="标题 9 字符"/>
    <w:next w:val="949"/>
    <w:link w:val="938"/>
    <w:rPr>
      <w:rFonts w:ascii="Arial" w:hAnsi="Arial" w:eastAsia="黑体" w:cs="Times New Roman"/>
      <w:sz w:val="24"/>
      <w:szCs w:val="21"/>
    </w:rPr>
  </w:style>
  <w:style w:type="paragraph" w:styleId="950">
    <w:name w:val="目录 7"/>
    <w:basedOn w:val="930"/>
    <w:next w:val="929"/>
    <w:link w:val="929"/>
    <w:pPr>
      <w:ind w:left="2520"/>
    </w:pPr>
  </w:style>
  <w:style w:type="paragraph" w:styleId="951">
    <w:name w:val="索引 8"/>
    <w:basedOn w:val="929"/>
    <w:next w:val="929"/>
    <w:link w:val="929"/>
    <w:pPr>
      <w:ind w:left="2940"/>
    </w:pPr>
  </w:style>
  <w:style w:type="paragraph" w:styleId="952">
    <w:name w:val="列表编号"/>
    <w:basedOn w:val="929"/>
    <w:next w:val="952"/>
    <w:link w:val="929"/>
    <w:pPr>
      <w:ind w:left="1125" w:hanging="555"/>
      <w:tabs>
        <w:tab w:val="left" w:pos="1125" w:leader="none"/>
      </w:tabs>
    </w:pPr>
    <w:rPr>
      <w:rFonts w:eastAsia="宋体"/>
      <w:sz w:val="21"/>
      <w:szCs w:val="24"/>
    </w:rPr>
  </w:style>
  <w:style w:type="paragraph" w:styleId="953">
    <w:name w:val="正文缩进"/>
    <w:basedOn w:val="929"/>
    <w:next w:val="929"/>
    <w:link w:val="954"/>
    <w:qFormat/>
    <w:pPr>
      <w:ind w:firstLine="420"/>
      <w:jc w:val="left"/>
    </w:pPr>
    <w:rPr>
      <w:sz w:val="24"/>
    </w:rPr>
  </w:style>
  <w:style w:type="character" w:styleId="954">
    <w:name w:val="正文缩进 字符"/>
    <w:next w:val="954"/>
    <w:link w:val="953"/>
    <w:qFormat/>
    <w:rPr>
      <w:rFonts w:eastAsia="楷体_GB2312"/>
      <w:sz w:val="24"/>
    </w:rPr>
  </w:style>
  <w:style w:type="paragraph" w:styleId="955">
    <w:name w:val="索引 5"/>
    <w:basedOn w:val="929"/>
    <w:next w:val="929"/>
    <w:link w:val="929"/>
    <w:pPr>
      <w:ind w:left="1680"/>
    </w:pPr>
  </w:style>
  <w:style w:type="paragraph" w:styleId="956">
    <w:name w:val="文档结构图"/>
    <w:basedOn w:val="929"/>
    <w:next w:val="956"/>
    <w:link w:val="957"/>
    <w:pPr>
      <w:shd w:val="clear" w:color="auto" w:fill="000080"/>
    </w:pPr>
    <w:rPr>
      <w:rFonts w:eastAsia="宋体"/>
      <w:sz w:val="24"/>
      <w:shd w:val="clear" w:color="auto" w:fill="000080"/>
    </w:rPr>
  </w:style>
  <w:style w:type="character" w:styleId="957">
    <w:name w:val="文档结构图 字符"/>
    <w:next w:val="957"/>
    <w:link w:val="956"/>
    <w:rPr>
      <w:rFonts w:ascii="Times New Roman" w:hAnsi="Times New Roman" w:eastAsia="宋体" w:cs="Times New Roman"/>
      <w:sz w:val="24"/>
      <w:szCs w:val="20"/>
      <w:shd w:val="clear" w:color="auto" w:fill="000080"/>
    </w:rPr>
  </w:style>
  <w:style w:type="paragraph" w:styleId="958">
    <w:name w:val="批注文字"/>
    <w:basedOn w:val="929"/>
    <w:next w:val="958"/>
    <w:link w:val="959"/>
    <w:pPr>
      <w:jc w:val="left"/>
    </w:pPr>
  </w:style>
  <w:style w:type="character" w:styleId="959">
    <w:name w:val="批注文字 字符1"/>
    <w:next w:val="959"/>
    <w:link w:val="958"/>
    <w:rPr>
      <w:rFonts w:ascii="Times New Roman" w:hAnsi="Times New Roman" w:eastAsia="楷体_GB2312" w:cs="Times New Roman"/>
      <w:sz w:val="26"/>
      <w:szCs w:val="20"/>
    </w:rPr>
  </w:style>
  <w:style w:type="paragraph" w:styleId="960">
    <w:name w:val="索引 6"/>
    <w:basedOn w:val="929"/>
    <w:next w:val="929"/>
    <w:link w:val="929"/>
    <w:pPr>
      <w:ind w:left="2100"/>
    </w:pPr>
  </w:style>
  <w:style w:type="paragraph" w:styleId="961">
    <w:name w:val="正文文本"/>
    <w:basedOn w:val="929"/>
    <w:next w:val="961"/>
    <w:link w:val="962"/>
    <w:pPr>
      <w:spacing w:line="400" w:lineRule="exact"/>
    </w:pPr>
    <w:rPr>
      <w:rFonts w:ascii="楷体_GB2312"/>
      <w:sz w:val="28"/>
    </w:rPr>
  </w:style>
  <w:style w:type="character" w:styleId="962">
    <w:name w:val="正文文本 字符"/>
    <w:next w:val="962"/>
    <w:link w:val="961"/>
    <w:rPr>
      <w:rFonts w:ascii="楷体_GB2312" w:hAnsi="Times New Roman" w:eastAsia="楷体_GB2312" w:cs="Times New Roman"/>
      <w:sz w:val="28"/>
      <w:szCs w:val="20"/>
    </w:rPr>
  </w:style>
  <w:style w:type="paragraph" w:styleId="963">
    <w:name w:val="正文文本缩进"/>
    <w:basedOn w:val="929"/>
    <w:next w:val="965"/>
    <w:link w:val="964"/>
    <w:pPr>
      <w:ind w:left="570"/>
      <w:spacing w:line="520" w:lineRule="exact"/>
    </w:pPr>
    <w:rPr>
      <w:rFonts w:ascii="方正仿宋简体" w:hAnsi="创艺简仿宋" w:eastAsia="方正仿宋简体"/>
      <w:sz w:val="24"/>
    </w:rPr>
  </w:style>
  <w:style w:type="character" w:styleId="964">
    <w:name w:val="正文文本缩进 字符"/>
    <w:next w:val="964"/>
    <w:link w:val="963"/>
    <w:rPr>
      <w:rFonts w:ascii="方正仿宋简体" w:hAnsi="创艺简仿宋" w:eastAsia="方正仿宋简体" w:cs="Times New Roman"/>
      <w:sz w:val="24"/>
      <w:szCs w:val="20"/>
    </w:rPr>
  </w:style>
  <w:style w:type="paragraph" w:styleId="965">
    <w:name w:val="寄信人地址"/>
    <w:basedOn w:val="929"/>
    <w:next w:val="965"/>
    <w:link w:val="929"/>
    <w:qFormat/>
    <w:rPr>
      <w:rFonts w:ascii="Arial" w:hAnsi="Arial"/>
    </w:rPr>
  </w:style>
  <w:style w:type="paragraph" w:styleId="966">
    <w:name w:val="列表 2"/>
    <w:basedOn w:val="930"/>
    <w:next w:val="950"/>
    <w:link w:val="929"/>
    <w:qFormat/>
    <w:pPr>
      <w:ind w:left="100" w:firstLine="3640"/>
      <w:spacing w:before="0" w:after="0" w:line="240" w:lineRule="auto"/>
    </w:pPr>
    <w:rPr>
      <w:rFonts w:ascii="Times New Roman" w:hAnsi="Times New Roman" w:cs="Times New Roman"/>
    </w:rPr>
  </w:style>
  <w:style w:type="paragraph" w:styleId="967">
    <w:name w:val="文本块"/>
    <w:basedOn w:val="929"/>
    <w:next w:val="967"/>
    <w:link w:val="929"/>
    <w:pPr>
      <w:ind w:left="630" w:right="-609" w:firstLine="420"/>
      <w:spacing w:line="360" w:lineRule="auto"/>
    </w:pPr>
    <w:rPr>
      <w:rFonts w:ascii="仿宋_GB2312" w:eastAsia="仿宋_GB2312"/>
      <w:sz w:val="21"/>
    </w:rPr>
  </w:style>
  <w:style w:type="paragraph" w:styleId="968">
    <w:name w:val="索引 4"/>
    <w:basedOn w:val="929"/>
    <w:next w:val="929"/>
    <w:link w:val="929"/>
    <w:pPr>
      <w:ind w:left="1260"/>
    </w:pPr>
  </w:style>
  <w:style w:type="paragraph" w:styleId="969">
    <w:name w:val="目录 5"/>
    <w:basedOn w:val="929"/>
    <w:next w:val="929"/>
    <w:link w:val="929"/>
    <w:pPr>
      <w:ind w:left="1680"/>
    </w:pPr>
  </w:style>
  <w:style w:type="paragraph" w:styleId="970">
    <w:name w:val="目录 3"/>
    <w:basedOn w:val="929"/>
    <w:next w:val="929"/>
    <w:link w:val="929"/>
    <w:pPr>
      <w:ind w:left="840"/>
    </w:pPr>
  </w:style>
  <w:style w:type="paragraph" w:styleId="971">
    <w:name w:val="纯文本"/>
    <w:basedOn w:val="929"/>
    <w:next w:val="971"/>
    <w:link w:val="972"/>
    <w:qFormat/>
    <w:rPr>
      <w:rFonts w:ascii="宋体" w:hAnsi="Courier New"/>
    </w:rPr>
  </w:style>
  <w:style w:type="character" w:styleId="972">
    <w:name w:val="纯文本 字符"/>
    <w:next w:val="972"/>
    <w:link w:val="971"/>
    <w:qFormat/>
    <w:rPr>
      <w:rFonts w:ascii="宋体" w:hAnsi="Courier New" w:eastAsia="楷体_GB2312"/>
      <w:sz w:val="26"/>
    </w:rPr>
  </w:style>
  <w:style w:type="paragraph" w:styleId="973">
    <w:name w:val="目录 8"/>
    <w:basedOn w:val="929"/>
    <w:next w:val="929"/>
    <w:link w:val="929"/>
    <w:pPr>
      <w:ind w:left="2940"/>
    </w:pPr>
  </w:style>
  <w:style w:type="paragraph" w:styleId="974">
    <w:name w:val="索引 3"/>
    <w:basedOn w:val="929"/>
    <w:next w:val="929"/>
    <w:link w:val="929"/>
    <w:pPr>
      <w:ind w:left="840"/>
    </w:pPr>
  </w:style>
  <w:style w:type="paragraph" w:styleId="975">
    <w:name w:val="日期"/>
    <w:basedOn w:val="929"/>
    <w:next w:val="929"/>
    <w:link w:val="976"/>
    <w:rPr>
      <w:rFonts w:ascii="宋体" w:hAnsi="宋体"/>
      <w:sz w:val="24"/>
    </w:rPr>
  </w:style>
  <w:style w:type="character" w:styleId="976">
    <w:name w:val="日期 字符"/>
    <w:next w:val="976"/>
    <w:link w:val="975"/>
    <w:rPr>
      <w:rFonts w:ascii="宋体" w:hAnsi="宋体" w:eastAsia="楷体_GB2312" w:cs="Times New Roman"/>
      <w:sz w:val="24"/>
      <w:szCs w:val="20"/>
    </w:rPr>
  </w:style>
  <w:style w:type="paragraph" w:styleId="977">
    <w:name w:val="正文文本缩进 2"/>
    <w:basedOn w:val="929"/>
    <w:next w:val="977"/>
    <w:link w:val="978"/>
    <w:pPr>
      <w:ind w:firstLine="502"/>
      <w:spacing w:line="360" w:lineRule="auto"/>
      <w:tabs>
        <w:tab w:val="left" w:pos="0" w:leader="none"/>
      </w:tabs>
    </w:pPr>
    <w:rPr>
      <w:rFonts w:ascii="宋体" w:eastAsia="宋体"/>
      <w:b/>
      <w:bCs/>
      <w:sz w:val="24"/>
    </w:rPr>
  </w:style>
  <w:style w:type="character" w:styleId="978">
    <w:name w:val="正文文本缩进 2 字符"/>
    <w:next w:val="978"/>
    <w:link w:val="977"/>
    <w:rPr>
      <w:rFonts w:ascii="宋体" w:hAnsi="Times New Roman" w:eastAsia="宋体" w:cs="Times New Roman"/>
      <w:b/>
      <w:bCs/>
      <w:sz w:val="24"/>
      <w:szCs w:val="20"/>
    </w:rPr>
  </w:style>
  <w:style w:type="paragraph" w:styleId="979">
    <w:name w:val="批注框文本"/>
    <w:basedOn w:val="929"/>
    <w:next w:val="979"/>
    <w:link w:val="980"/>
    <w:rPr>
      <w:sz w:val="18"/>
      <w:szCs w:val="18"/>
    </w:rPr>
  </w:style>
  <w:style w:type="character" w:styleId="980">
    <w:name w:val="批注框文本 字符"/>
    <w:next w:val="980"/>
    <w:link w:val="979"/>
    <w:rPr>
      <w:rFonts w:ascii="Times New Roman" w:hAnsi="Times New Roman" w:eastAsia="楷体_GB2312" w:cs="Times New Roman"/>
      <w:sz w:val="18"/>
      <w:szCs w:val="18"/>
    </w:rPr>
  </w:style>
  <w:style w:type="paragraph" w:styleId="981">
    <w:name w:val="页脚"/>
    <w:basedOn w:val="929"/>
    <w:next w:val="981"/>
    <w:link w:val="982"/>
    <w:uiPriority w:val="99"/>
    <w:pPr>
      <w:jc w:val="left"/>
      <w:tabs>
        <w:tab w:val="center" w:pos="4153" w:leader="none"/>
        <w:tab w:val="right" w:pos="8306" w:leader="none"/>
      </w:tabs>
    </w:pPr>
    <w:rPr>
      <w:rFonts w:ascii="Tahoma" w:hAnsi="Tahoma" w:eastAsia="宋体"/>
      <w:sz w:val="18"/>
      <w:szCs w:val="18"/>
    </w:rPr>
  </w:style>
  <w:style w:type="character" w:styleId="982">
    <w:name w:val="页脚 字符"/>
    <w:next w:val="982"/>
    <w:link w:val="981"/>
    <w:uiPriority w:val="99"/>
    <w:rPr>
      <w:rFonts w:ascii="Tahoma" w:hAnsi="Tahoma" w:eastAsia="宋体"/>
      <w:sz w:val="18"/>
      <w:szCs w:val="18"/>
    </w:rPr>
  </w:style>
  <w:style w:type="paragraph" w:styleId="983">
    <w:name w:val="页眉"/>
    <w:basedOn w:val="929"/>
    <w:next w:val="983"/>
    <w:link w:val="984"/>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84">
    <w:name w:val="页眉 字符"/>
    <w:next w:val="984"/>
    <w:link w:val="983"/>
    <w:qFormat/>
    <w:rPr>
      <w:rFonts w:ascii="Tahoma" w:hAnsi="Tahoma" w:eastAsia="宋体"/>
      <w:sz w:val="18"/>
      <w:szCs w:val="18"/>
    </w:rPr>
  </w:style>
  <w:style w:type="paragraph" w:styleId="985">
    <w:name w:val="目录 1"/>
    <w:basedOn w:val="929"/>
    <w:next w:val="929"/>
    <w:link w:val="929"/>
    <w:pPr>
      <w:ind w:firstLine="751"/>
      <w:jc w:val="left"/>
      <w:spacing w:line="360" w:lineRule="auto"/>
      <w:tabs>
        <w:tab w:val="right" w:pos="9538" w:leader="dot"/>
      </w:tabs>
    </w:pPr>
    <w:rPr>
      <w:sz w:val="24"/>
    </w:rPr>
  </w:style>
  <w:style w:type="paragraph" w:styleId="986">
    <w:name w:val="目录 4"/>
    <w:basedOn w:val="929"/>
    <w:next w:val="929"/>
    <w:link w:val="929"/>
    <w:pPr>
      <w:ind w:left="1260"/>
    </w:pPr>
  </w:style>
  <w:style w:type="paragraph" w:styleId="987">
    <w:name w:val="索引标题"/>
    <w:basedOn w:val="929"/>
    <w:next w:val="988"/>
    <w:link w:val="929"/>
  </w:style>
  <w:style w:type="paragraph" w:styleId="988">
    <w:name w:val="索引 1"/>
    <w:basedOn w:val="929"/>
    <w:next w:val="929"/>
    <w:link w:val="929"/>
  </w:style>
  <w:style w:type="paragraph" w:styleId="989">
    <w:name w:val="脚注文本"/>
    <w:basedOn w:val="929"/>
    <w:next w:val="989"/>
    <w:link w:val="990"/>
    <w:pPr>
      <w:jc w:val="left"/>
    </w:pPr>
    <w:rPr>
      <w:sz w:val="18"/>
    </w:rPr>
  </w:style>
  <w:style w:type="character" w:styleId="990">
    <w:name w:val="脚注文本 字符"/>
    <w:next w:val="990"/>
    <w:link w:val="989"/>
    <w:rPr>
      <w:rFonts w:ascii="Times New Roman" w:hAnsi="Times New Roman" w:eastAsia="楷体_GB2312" w:cs="Times New Roman"/>
      <w:sz w:val="18"/>
      <w:szCs w:val="20"/>
    </w:rPr>
  </w:style>
  <w:style w:type="paragraph" w:styleId="991">
    <w:name w:val="目录 6"/>
    <w:basedOn w:val="929"/>
    <w:next w:val="929"/>
    <w:link w:val="929"/>
    <w:pPr>
      <w:ind w:left="2100"/>
    </w:pPr>
  </w:style>
  <w:style w:type="paragraph" w:styleId="992">
    <w:name w:val="正文文本缩进 3"/>
    <w:basedOn w:val="929"/>
    <w:next w:val="992"/>
    <w:link w:val="993"/>
    <w:pPr>
      <w:ind w:firstLine="617"/>
      <w:spacing w:line="360" w:lineRule="auto"/>
    </w:pPr>
    <w:rPr>
      <w:rFonts w:eastAsia="宋体"/>
      <w:sz w:val="24"/>
      <w:szCs w:val="24"/>
    </w:rPr>
  </w:style>
  <w:style w:type="character" w:styleId="993">
    <w:name w:val="正文文本缩进 3 字符"/>
    <w:next w:val="993"/>
    <w:link w:val="992"/>
    <w:rPr>
      <w:rFonts w:ascii="Times New Roman" w:hAnsi="Times New Roman" w:eastAsia="宋体" w:cs="Times New Roman"/>
      <w:sz w:val="24"/>
      <w:szCs w:val="24"/>
    </w:rPr>
  </w:style>
  <w:style w:type="paragraph" w:styleId="994">
    <w:name w:val="索引 7"/>
    <w:basedOn w:val="929"/>
    <w:next w:val="929"/>
    <w:link w:val="929"/>
    <w:pPr>
      <w:ind w:left="2520"/>
    </w:pPr>
  </w:style>
  <w:style w:type="paragraph" w:styleId="995">
    <w:name w:val="索引 9"/>
    <w:basedOn w:val="929"/>
    <w:next w:val="929"/>
    <w:link w:val="929"/>
    <w:pPr>
      <w:ind w:left="3360"/>
    </w:pPr>
  </w:style>
  <w:style w:type="paragraph" w:styleId="996">
    <w:name w:val="图表目录"/>
    <w:basedOn w:val="929"/>
    <w:next w:val="929"/>
    <w:link w:val="929"/>
    <w:pPr>
      <w:ind w:left="420" w:hanging="420"/>
      <w:jc w:val="left"/>
    </w:pPr>
    <w:rPr>
      <w:smallCaps/>
      <w:sz w:val="24"/>
    </w:rPr>
  </w:style>
  <w:style w:type="paragraph" w:styleId="997">
    <w:name w:val="目录 2"/>
    <w:basedOn w:val="929"/>
    <w:next w:val="929"/>
    <w:link w:val="929"/>
    <w:pPr>
      <w:ind w:left="420"/>
    </w:pPr>
  </w:style>
  <w:style w:type="paragraph" w:styleId="998">
    <w:name w:val="目录 9"/>
    <w:basedOn w:val="929"/>
    <w:next w:val="929"/>
    <w:link w:val="929"/>
    <w:pPr>
      <w:ind w:left="3360"/>
    </w:pPr>
  </w:style>
  <w:style w:type="paragraph" w:styleId="999">
    <w:name w:val="HTML 预设格式"/>
    <w:basedOn w:val="929"/>
    <w:next w:val="999"/>
    <w:link w:val="10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0">
    <w:name w:val="HTML 预设格式 字符"/>
    <w:next w:val="1000"/>
    <w:link w:val="999"/>
    <w:rPr>
      <w:rFonts w:ascii="黑体" w:hAnsi="Courier New" w:eastAsia="黑体" w:cs="楷体_GB2312"/>
      <w:sz w:val="20"/>
      <w:szCs w:val="20"/>
    </w:rPr>
  </w:style>
  <w:style w:type="paragraph" w:styleId="1001">
    <w:name w:val="普通(网站)"/>
    <w:basedOn w:val="929"/>
    <w:next w:val="966"/>
    <w:link w:val="929"/>
    <w:uiPriority w:val="99"/>
    <w:qFormat/>
    <w:pPr>
      <w:jc w:val="left"/>
      <w:spacing w:before="100" w:beforeAutospacing="1" w:after="100" w:afterAutospacing="1"/>
      <w:widowControl/>
    </w:pPr>
    <w:rPr>
      <w:rFonts w:hint="eastAsia" w:ascii="宋体" w:hAnsi="宋体" w:eastAsia="宋体"/>
      <w:sz w:val="24"/>
      <w:szCs w:val="24"/>
    </w:rPr>
  </w:style>
  <w:style w:type="paragraph" w:styleId="1002">
    <w:name w:val="索引 2"/>
    <w:basedOn w:val="929"/>
    <w:next w:val="929"/>
    <w:link w:val="929"/>
    <w:pPr>
      <w:ind w:left="420"/>
    </w:pPr>
  </w:style>
  <w:style w:type="paragraph" w:styleId="1003">
    <w:name w:val="批注主题"/>
    <w:basedOn w:val="958"/>
    <w:next w:val="958"/>
    <w:link w:val="1004"/>
    <w:rPr>
      <w:b/>
      <w:bCs/>
    </w:rPr>
  </w:style>
  <w:style w:type="character" w:styleId="1004">
    <w:name w:val="批注主题 字符"/>
    <w:next w:val="1004"/>
    <w:link w:val="1003"/>
    <w:rPr>
      <w:rFonts w:ascii="Times New Roman" w:hAnsi="Times New Roman" w:eastAsia="楷体_GB2312" w:cs="Times New Roman"/>
      <w:b/>
      <w:bCs/>
      <w:sz w:val="26"/>
      <w:szCs w:val="20"/>
    </w:rPr>
  </w:style>
  <w:style w:type="paragraph" w:styleId="1005">
    <w:name w:val="正文首行缩进"/>
    <w:basedOn w:val="961"/>
    <w:next w:val="1005"/>
    <w:link w:val="1006"/>
    <w:pPr>
      <w:ind w:firstLine="420"/>
      <w:spacing w:after="120" w:line="240" w:lineRule="auto"/>
    </w:pPr>
    <w:rPr>
      <w:rFonts w:ascii="Times New Roman"/>
      <w:sz w:val="26"/>
    </w:rPr>
  </w:style>
  <w:style w:type="character" w:styleId="1006">
    <w:name w:val="正文首行缩进 字符"/>
    <w:next w:val="1006"/>
    <w:link w:val="1005"/>
    <w:rPr>
      <w:rFonts w:ascii="Times New Roman" w:hAnsi="Times New Roman" w:eastAsia="楷体_GB2312" w:cs="Times New Roman"/>
      <w:sz w:val="26"/>
      <w:szCs w:val="20"/>
    </w:rPr>
  </w:style>
  <w:style w:type="paragraph" w:styleId="1007">
    <w:name w:val="正文首行缩进 2"/>
    <w:basedOn w:val="963"/>
    <w:next w:val="1007"/>
    <w:link w:val="929"/>
    <w:qFormat/>
    <w:pPr>
      <w:ind w:firstLine="420"/>
    </w:pPr>
  </w:style>
  <w:style w:type="table" w:styleId="1008">
    <w:name w:val="网格型"/>
    <w:basedOn w:val="940"/>
    <w:next w:val="1008"/>
    <w:link w:val="929"/>
    <w:uiPriority w:val="59"/>
    <w:unhideWhenUsed/>
    <w:qFormat/>
    <w:pPr>
      <w:jc w:val="both"/>
      <w:widowControl w:val="off"/>
    </w:pPr>
    <w:tblPr/>
  </w:style>
  <w:style w:type="character" w:styleId="1009">
    <w:name w:val="要点"/>
    <w:next w:val="1009"/>
    <w:link w:val="929"/>
    <w:qFormat/>
    <w:rPr>
      <w:rFonts w:ascii="Tahoma" w:hAnsi="Tahoma" w:eastAsia="宋体"/>
      <w:b/>
      <w:sz w:val="24"/>
    </w:rPr>
  </w:style>
  <w:style w:type="character" w:styleId="1010">
    <w:name w:val="页码"/>
    <w:basedOn w:val="939"/>
    <w:next w:val="1010"/>
    <w:link w:val="929"/>
  </w:style>
  <w:style w:type="character" w:styleId="1011">
    <w:name w:val="强调"/>
    <w:next w:val="1011"/>
    <w:link w:val="929"/>
    <w:uiPriority w:val="20"/>
    <w:qFormat/>
    <w:rPr>
      <w:b/>
      <w:bCs/>
      <w:i w:val="0"/>
      <w:iCs w:val="0"/>
    </w:rPr>
  </w:style>
  <w:style w:type="character" w:styleId="1012">
    <w:name w:val="HTML 定义"/>
    <w:next w:val="1012"/>
    <w:link w:val="929"/>
    <w:uiPriority w:val="99"/>
    <w:unhideWhenUsed/>
    <w:rPr>
      <w:i w:val="0"/>
      <w:iCs w:val="0"/>
    </w:rPr>
  </w:style>
  <w:style w:type="character" w:styleId="1013">
    <w:name w:val="HTML 打字机"/>
    <w:next w:val="1013"/>
    <w:link w:val="929"/>
    <w:uiPriority w:val="99"/>
    <w:unhideWhenUsed/>
    <w:rPr>
      <w:rFonts w:ascii="monospace" w:hAnsi="monospace" w:eastAsia="monospace" w:cs="monospace"/>
      <w:sz w:val="20"/>
    </w:rPr>
  </w:style>
  <w:style w:type="character" w:styleId="1014">
    <w:name w:val="HTML 缩写"/>
    <w:next w:val="1014"/>
    <w:link w:val="929"/>
    <w:uiPriority w:val="99"/>
    <w:unhideWhenUsed/>
  </w:style>
  <w:style w:type="character" w:styleId="1015">
    <w:name w:val="HTML 变量"/>
    <w:next w:val="1015"/>
    <w:link w:val="929"/>
    <w:uiPriority w:val="99"/>
    <w:unhideWhenUsed/>
    <w:rPr>
      <w:i w:val="0"/>
      <w:iCs w:val="0"/>
    </w:rPr>
  </w:style>
  <w:style w:type="character" w:styleId="1016">
    <w:name w:val="超链接"/>
    <w:next w:val="1016"/>
    <w:link w:val="929"/>
    <w:rPr>
      <w:color w:val="0000ff"/>
      <w:u w:val="none"/>
    </w:rPr>
  </w:style>
  <w:style w:type="character" w:styleId="1017">
    <w:name w:val="HTML 代码"/>
    <w:next w:val="1017"/>
    <w:link w:val="929"/>
    <w:uiPriority w:val="99"/>
    <w:unhideWhenUsed/>
    <w:rPr>
      <w:rFonts w:ascii="monospace" w:hAnsi="monospace" w:eastAsia="monospace" w:cs="monospace"/>
      <w:i w:val="0"/>
      <w:iCs w:val="0"/>
      <w:sz w:val="20"/>
    </w:rPr>
  </w:style>
  <w:style w:type="character" w:styleId="1018">
    <w:name w:val="批注引用"/>
    <w:next w:val="1018"/>
    <w:link w:val="929"/>
    <w:rPr>
      <w:sz w:val="21"/>
      <w:szCs w:val="21"/>
    </w:rPr>
  </w:style>
  <w:style w:type="character" w:styleId="1019">
    <w:name w:val="HTML 引文"/>
    <w:next w:val="1019"/>
    <w:link w:val="929"/>
    <w:uiPriority w:val="99"/>
    <w:unhideWhenUsed/>
    <w:rPr>
      <w:i w:val="0"/>
      <w:iCs w:val="0"/>
    </w:rPr>
  </w:style>
  <w:style w:type="character" w:styleId="1020">
    <w:name w:val="脚注引用"/>
    <w:next w:val="1020"/>
    <w:link w:val="929"/>
    <w:rPr>
      <w:vertAlign w:val="superscript"/>
    </w:rPr>
  </w:style>
  <w:style w:type="character" w:styleId="1021">
    <w:name w:val="HTML 键盘"/>
    <w:next w:val="1021"/>
    <w:link w:val="929"/>
    <w:uiPriority w:val="99"/>
    <w:unhideWhenUsed/>
    <w:rPr>
      <w:rFonts w:ascii="monospace" w:hAnsi="monospace" w:eastAsia="monospace" w:cs="monospace"/>
      <w:sz w:val="20"/>
    </w:rPr>
  </w:style>
  <w:style w:type="character" w:styleId="1022">
    <w:name w:val="HTML 样本"/>
    <w:next w:val="1022"/>
    <w:link w:val="929"/>
    <w:uiPriority w:val="99"/>
    <w:unhideWhenUsed/>
    <w:rPr>
      <w:rFonts w:ascii="monospace" w:hAnsi="monospace" w:eastAsia="monospace" w:cs="monospace"/>
    </w:rPr>
  </w:style>
  <w:style w:type="character" w:styleId="1023">
    <w:name w:val="要点1"/>
    <w:next w:val="1023"/>
    <w:link w:val="929"/>
    <w:qFormat/>
    <w:rPr>
      <w:rFonts w:eastAsia="楷体_GB2312"/>
      <w:sz w:val="26"/>
      <w:lang w:val="en-US" w:eastAsia="zh-CN" w:bidi="ar-SA"/>
    </w:rPr>
  </w:style>
  <w:style w:type="character" w:styleId="1024">
    <w:name w:val="font61"/>
    <w:next w:val="1024"/>
    <w:link w:val="929"/>
    <w:rPr>
      <w:rFonts w:ascii="Batang" w:hAnsi="Batang" w:eastAsia="Batang" w:cs="Batang"/>
      <w:i w:val="0"/>
      <w:color w:val="000000"/>
      <w:sz w:val="21"/>
      <w:szCs w:val="21"/>
      <w:u w:val="none"/>
    </w:rPr>
  </w:style>
  <w:style w:type="character" w:styleId="1025">
    <w:name w:val="mini-outputtext1"/>
    <w:next w:val="1025"/>
    <w:link w:val="929"/>
  </w:style>
  <w:style w:type="character" w:styleId="1026">
    <w:name w:val="font41"/>
    <w:next w:val="1026"/>
    <w:link w:val="929"/>
    <w:qFormat/>
    <w:rPr>
      <w:rFonts w:hint="eastAsia" w:ascii="宋体" w:hAnsi="宋体" w:eastAsia="宋体" w:cs="宋体"/>
      <w:color w:val="000000"/>
      <w:sz w:val="18"/>
      <w:szCs w:val="18"/>
      <w:u w:val="none"/>
    </w:rPr>
  </w:style>
  <w:style w:type="character" w:styleId="1027">
    <w:name w:val="apple-style-span"/>
    <w:next w:val="1027"/>
    <w:link w:val="929"/>
  </w:style>
  <w:style w:type="character" w:styleId="1028">
    <w:name w:val="Plain Text Char1"/>
    <w:next w:val="1028"/>
    <w:link w:val="1029"/>
    <w:qFormat/>
    <w:rPr>
      <w:rFonts w:ascii="宋体" w:hAnsi="Courier New" w:eastAsia="楷体_GB2312"/>
      <w:sz w:val="26"/>
    </w:rPr>
  </w:style>
  <w:style w:type="paragraph" w:styleId="1029">
    <w:name w:val="纯文本1"/>
    <w:basedOn w:val="929"/>
    <w:next w:val="1029"/>
    <w:link w:val="1028"/>
    <w:qFormat/>
    <w:rPr>
      <w:rFonts w:ascii="宋体" w:hAnsi="Courier New"/>
    </w:rPr>
  </w:style>
  <w:style w:type="character" w:styleId="1030">
    <w:name w:val="font161"/>
    <w:next w:val="1030"/>
    <w:link w:val="929"/>
    <w:rPr>
      <w:rFonts w:hint="eastAsia" w:ascii="宋体" w:hAnsi="宋体" w:eastAsia="宋体" w:cs="宋体"/>
      <w:i w:val="0"/>
      <w:color w:val="333333"/>
      <w:sz w:val="20"/>
      <w:szCs w:val="20"/>
      <w:u w:val="none"/>
    </w:rPr>
  </w:style>
  <w:style w:type="character" w:styleId="1031">
    <w:name w:val="font81"/>
    <w:next w:val="1031"/>
    <w:link w:val="929"/>
    <w:rPr>
      <w:rFonts w:ascii="微软雅黑" w:hAnsi="微软雅黑" w:eastAsia="微软雅黑" w:cs="微软雅黑"/>
      <w:i w:val="0"/>
      <w:color w:val="000000"/>
      <w:sz w:val="21"/>
      <w:szCs w:val="21"/>
      <w:u w:val="none"/>
    </w:rPr>
  </w:style>
  <w:style w:type="character" w:styleId="1032">
    <w:name w:val="font101"/>
    <w:next w:val="1032"/>
    <w:link w:val="929"/>
    <w:rPr>
      <w:rFonts w:hint="eastAsia" w:ascii="宋体" w:hAnsi="宋体" w:eastAsia="宋体" w:cs="宋体"/>
      <w:i w:val="0"/>
      <w:color w:val="000000"/>
      <w:sz w:val="21"/>
      <w:szCs w:val="21"/>
      <w:u w:val="none"/>
    </w:rPr>
  </w:style>
  <w:style w:type="character" w:styleId="1033">
    <w:name w:val="font01"/>
    <w:next w:val="1033"/>
    <w:link w:val="929"/>
    <w:rPr>
      <w:rFonts w:hint="eastAsia" w:ascii="宋体" w:hAnsi="宋体" w:eastAsia="宋体" w:cs="宋体"/>
      <w:i w:val="0"/>
      <w:color w:val="333333"/>
      <w:sz w:val="24"/>
      <w:szCs w:val="24"/>
      <w:u w:val="none"/>
    </w:rPr>
  </w:style>
  <w:style w:type="character" w:styleId="1034">
    <w:name w:val="font51"/>
    <w:next w:val="1034"/>
    <w:link w:val="929"/>
    <w:rPr>
      <w:rFonts w:ascii="Times New Roman" w:hAnsi="Times New Roman" w:eastAsia="宋体" w:cs="Times New Roman"/>
      <w:i w:val="0"/>
      <w:color w:val="000000"/>
      <w:sz w:val="21"/>
      <w:szCs w:val="21"/>
      <w:u w:val="none"/>
    </w:rPr>
  </w:style>
  <w:style w:type="character" w:styleId="1035">
    <w:name w:val="font141"/>
    <w:next w:val="1035"/>
    <w:link w:val="929"/>
    <w:rPr>
      <w:rFonts w:ascii="Times New Roman" w:hAnsi="Times New Roman" w:eastAsia="宋体" w:cs="Times New Roman"/>
      <w:i w:val="0"/>
      <w:color w:val="000000"/>
      <w:sz w:val="21"/>
      <w:szCs w:val="21"/>
      <w:u w:val="none"/>
      <w:vertAlign w:val="superscript"/>
    </w:rPr>
  </w:style>
  <w:style w:type="character" w:styleId="1036">
    <w:name w:val="hover1"/>
    <w:next w:val="1036"/>
    <w:link w:val="929"/>
    <w:rPr>
      <w:color w:val="2590eb"/>
    </w:rPr>
  </w:style>
  <w:style w:type="character" w:styleId="1037">
    <w:name w:val="font131"/>
    <w:next w:val="1037"/>
    <w:link w:val="929"/>
    <w:rPr>
      <w:rFonts w:ascii="Times New Roman" w:hAnsi="Times New Roman" w:eastAsia="宋体" w:cs="Times New Roman"/>
      <w:i w:val="0"/>
      <w:color w:val="333333"/>
      <w:sz w:val="20"/>
      <w:szCs w:val="20"/>
      <w:u w:val="none"/>
    </w:rPr>
  </w:style>
  <w:style w:type="character" w:styleId="1038">
    <w:name w:val="font11"/>
    <w:basedOn w:val="939"/>
    <w:next w:val="1038"/>
    <w:link w:val="929"/>
    <w:rPr>
      <w:rFonts w:hint="eastAsia" w:ascii="宋体" w:hAnsi="宋体" w:eastAsia="宋体" w:cs="宋体"/>
      <w:i w:val="0"/>
      <w:color w:val="000000"/>
      <w:sz w:val="24"/>
      <w:szCs w:val="24"/>
      <w:u w:val="none"/>
    </w:rPr>
  </w:style>
  <w:style w:type="character" w:styleId="1039">
    <w:name w:val="font121"/>
    <w:next w:val="1039"/>
    <w:link w:val="929"/>
    <w:rPr>
      <w:rFonts w:ascii="微软雅黑" w:hAnsi="微软雅黑" w:eastAsia="微软雅黑" w:cs="微软雅黑"/>
      <w:i w:val="0"/>
      <w:color w:val="000000"/>
      <w:sz w:val="21"/>
      <w:szCs w:val="21"/>
      <w:u w:val="none"/>
    </w:rPr>
  </w:style>
  <w:style w:type="character" w:styleId="1040">
    <w:name w:val="font171"/>
    <w:next w:val="1040"/>
    <w:link w:val="929"/>
    <w:rPr>
      <w:rFonts w:ascii="微软雅黑" w:hAnsi="微软雅黑" w:eastAsia="微软雅黑" w:cs="微软雅黑"/>
      <w:i w:val="0"/>
      <w:color w:val="000000"/>
      <w:sz w:val="21"/>
      <w:szCs w:val="21"/>
      <w:u w:val="none"/>
    </w:rPr>
  </w:style>
  <w:style w:type="character" w:styleId="1041">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41"/>
    <w:link w:val="929"/>
    <w:qFormat/>
    <w:rPr>
      <w:rFonts w:ascii="楷体_GB2312" w:hAnsi="Tahoma" w:eastAsia="宋体"/>
      <w:sz w:val="21"/>
      <w:lang w:val="en-US" w:eastAsia="zh-CN" w:bidi="ar-SA"/>
    </w:rPr>
  </w:style>
  <w:style w:type="character" w:styleId="1042">
    <w:name w:val="批注文字 字符"/>
    <w:next w:val="1042"/>
    <w:link w:val="929"/>
    <w:rPr>
      <w:rFonts w:ascii="Times New Roman" w:hAnsi="Times New Roman" w:eastAsia="楷体_GB2312" w:cs="Times New Roman"/>
      <w:sz w:val="26"/>
      <w:szCs w:val="20"/>
    </w:rPr>
  </w:style>
  <w:style w:type="character" w:styleId="1043">
    <w:name w:val="纯文本 Char1"/>
    <w:next w:val="1043"/>
    <w:link w:val="929"/>
    <w:rPr>
      <w:rFonts w:ascii="宋体" w:hAnsi="Courier New" w:eastAsia="宋体" w:cs="Courier New"/>
      <w:sz w:val="24"/>
      <w:szCs w:val="21"/>
    </w:rPr>
  </w:style>
  <w:style w:type="character" w:styleId="1044">
    <w:name w:val="NormalCharacter1"/>
    <w:next w:val="1044"/>
    <w:link w:val="1045"/>
    <w:semiHidden/>
    <w:qFormat/>
    <w:rPr>
      <w:sz w:val="20"/>
    </w:rPr>
  </w:style>
  <w:style w:type="paragraph" w:styleId="1045">
    <w:name w:val="UserStyle_4"/>
    <w:basedOn w:val="929"/>
    <w:next w:val="1045"/>
    <w:link w:val="1044"/>
    <w:uiPriority w:val="99"/>
    <w:qFormat/>
    <w:rPr>
      <w:sz w:val="20"/>
    </w:rPr>
  </w:style>
  <w:style w:type="character" w:styleId="1046">
    <w:name w:val="无间隔 字符"/>
    <w:next w:val="1046"/>
    <w:link w:val="1047"/>
    <w:rPr>
      <w:sz w:val="22"/>
      <w:szCs w:val="22"/>
      <w:lang w:val="en-US" w:eastAsia="en-US" w:bidi="ar-SA"/>
    </w:rPr>
  </w:style>
  <w:style w:type="paragraph" w:styleId="1047">
    <w:name w:val="无间隔"/>
    <w:next w:val="1047"/>
    <w:link w:val="1046"/>
    <w:qFormat/>
    <w:rPr>
      <w:sz w:val="22"/>
      <w:szCs w:val="22"/>
      <w:lang w:val="en-US" w:eastAsia="en-US" w:bidi="ar-SA"/>
    </w:rPr>
  </w:style>
  <w:style w:type="character" w:styleId="1048">
    <w:name w:val="hover"/>
    <w:next w:val="1048"/>
    <w:link w:val="929"/>
  </w:style>
  <w:style w:type="character" w:styleId="1049">
    <w:name w:val="font111"/>
    <w:next w:val="1049"/>
    <w:link w:val="929"/>
    <w:rPr>
      <w:rFonts w:ascii="Times New Roman" w:hAnsi="Times New Roman" w:eastAsia="宋体" w:cs="Times New Roman"/>
      <w:i w:val="0"/>
      <w:color w:val="000000"/>
      <w:sz w:val="21"/>
      <w:szCs w:val="21"/>
      <w:u w:val="none"/>
      <w:vertAlign w:val="subscript"/>
    </w:rPr>
  </w:style>
  <w:style w:type="character" w:styleId="1050">
    <w:name w:val="font191"/>
    <w:next w:val="1050"/>
    <w:link w:val="929"/>
    <w:rPr>
      <w:rFonts w:hint="eastAsia" w:ascii="宋体" w:hAnsi="宋体" w:eastAsia="宋体" w:cs="宋体"/>
      <w:i w:val="0"/>
      <w:color w:val="000000"/>
      <w:sz w:val="21"/>
      <w:szCs w:val="21"/>
      <w:u w:val="none"/>
    </w:rPr>
  </w:style>
  <w:style w:type="character" w:styleId="1051">
    <w:name w:val="font71"/>
    <w:next w:val="1051"/>
    <w:link w:val="929"/>
    <w:rPr>
      <w:rFonts w:ascii="Times New Roman" w:hAnsi="Times New Roman" w:eastAsia="宋体" w:cs="Times New Roman"/>
      <w:i w:val="0"/>
      <w:color w:val="000000"/>
      <w:sz w:val="21"/>
      <w:szCs w:val="21"/>
      <w:u w:val="none"/>
    </w:rPr>
  </w:style>
  <w:style w:type="character" w:styleId="1052">
    <w:name w:val="font31"/>
    <w:basedOn w:val="939"/>
    <w:next w:val="1052"/>
    <w:link w:val="929"/>
    <w:rPr>
      <w:rFonts w:ascii="微软雅黑" w:hAnsi="微软雅黑" w:eastAsia="微软雅黑" w:cs="微软雅黑"/>
      <w:i w:val="0"/>
      <w:color w:val="000000"/>
      <w:sz w:val="21"/>
      <w:szCs w:val="21"/>
      <w:u w:val="none"/>
    </w:rPr>
  </w:style>
  <w:style w:type="character" w:styleId="1053">
    <w:name w:val="font181"/>
    <w:next w:val="1053"/>
    <w:link w:val="929"/>
    <w:rPr>
      <w:rFonts w:ascii="Times New Roman" w:hAnsi="Times New Roman" w:eastAsia="宋体" w:cs="Times New Roman"/>
      <w:i w:val="0"/>
      <w:color w:val="000000"/>
      <w:sz w:val="21"/>
      <w:szCs w:val="21"/>
      <w:u w:val="none"/>
      <w:vertAlign w:val="subscript"/>
    </w:rPr>
  </w:style>
  <w:style w:type="character" w:styleId="1054">
    <w:name w:val="font91"/>
    <w:next w:val="1054"/>
    <w:link w:val="929"/>
    <w:rPr>
      <w:rFonts w:ascii="微软雅黑" w:hAnsi="微软雅黑" w:eastAsia="微软雅黑" w:cs="微软雅黑"/>
      <w:i w:val="0"/>
      <w:color w:val="ff0000"/>
      <w:sz w:val="21"/>
      <w:szCs w:val="21"/>
      <w:u w:val="none"/>
    </w:rPr>
  </w:style>
  <w:style w:type="character" w:styleId="1055">
    <w:name w:val="font151"/>
    <w:next w:val="1055"/>
    <w:link w:val="929"/>
    <w:rPr>
      <w:rFonts w:ascii="Times New Roman" w:hAnsi="Times New Roman" w:eastAsia="宋体" w:cs="Times New Roman"/>
      <w:i w:val="0"/>
      <w:color w:val="dd0806"/>
      <w:sz w:val="21"/>
      <w:szCs w:val="21"/>
      <w:u w:val="none"/>
    </w:rPr>
  </w:style>
  <w:style w:type="character" w:styleId="1056">
    <w:name w:val="font21"/>
    <w:basedOn w:val="939"/>
    <w:next w:val="1056"/>
    <w:link w:val="929"/>
    <w:rPr>
      <w:rFonts w:hint="eastAsia" w:ascii="宋体" w:hAnsi="宋体" w:eastAsia="宋体" w:cs="宋体"/>
      <w:b/>
      <w:i w:val="0"/>
      <w:color w:val="000000"/>
      <w:sz w:val="22"/>
      <w:szCs w:val="22"/>
      <w:u w:val="none"/>
    </w:rPr>
  </w:style>
  <w:style w:type="character" w:styleId="1057">
    <w:name w:val="hover2"/>
    <w:next w:val="1057"/>
    <w:link w:val="929"/>
    <w:rPr>
      <w:color w:val="2590eb"/>
    </w:rPr>
  </w:style>
  <w:style w:type="paragraph" w:styleId="1058">
    <w:name w:val="节标题"/>
    <w:basedOn w:val="929"/>
    <w:next w:val="953"/>
    <w:link w:val="929"/>
    <w:pPr>
      <w:ind w:left="420" w:hanging="420"/>
      <w:spacing w:before="120" w:after="120" w:line="360" w:lineRule="exact"/>
      <w:tabs>
        <w:tab w:val="left" w:pos="420" w:leader="none"/>
      </w:tabs>
      <w:outlineLvl w:val="1"/>
    </w:pPr>
    <w:rPr>
      <w:rFonts w:eastAsia="宋体"/>
      <w:b/>
      <w:bCs/>
      <w:sz w:val="28"/>
    </w:rPr>
  </w:style>
  <w:style w:type="paragraph" w:styleId="1059">
    <w:name w:val="xl59"/>
    <w:basedOn w:val="929"/>
    <w:next w:val="1059"/>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0">
    <w:name w:val="xl51"/>
    <w:basedOn w:val="929"/>
    <w:next w:val="1060"/>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1">
    <w:name w:val="小四 段落 宋体 Char Char Char Char Char Char"/>
    <w:next w:val="1061"/>
    <w:link w:val="929"/>
    <w:pPr>
      <w:ind w:firstLine="480"/>
    </w:pPr>
    <w:rPr>
      <w:rFonts w:ascii="宋体" w:hAnsi="宋体"/>
      <w:lang w:val="en-US" w:eastAsia="zh-CN" w:bidi="ar-SA"/>
    </w:rPr>
  </w:style>
  <w:style w:type="paragraph" w:styleId="1062">
    <w:name w:val="表格正文"/>
    <w:next w:val="1062"/>
    <w:link w:val="929"/>
    <w:qFormat/>
    <w:pPr>
      <w:spacing w:before="20" w:after="20"/>
    </w:pPr>
    <w:rPr>
      <w:rFonts w:ascii="Times New Roman" w:hAnsi="Times New Roman" w:eastAsia="宋体" w:cs="Times New Roman"/>
      <w:i/>
      <w:iCs/>
      <w:color w:val="0070c0"/>
      <w:sz w:val="24"/>
      <w:szCs w:val="22"/>
      <w:lang w:val="en-US" w:eastAsia="zh-CN" w:bidi="ar-SA"/>
    </w:rPr>
  </w:style>
  <w:style w:type="paragraph" w:styleId="1063">
    <w:name w:val="Char Char Char Char Char Char Char Char Char1 Char"/>
    <w:basedOn w:val="956"/>
    <w:next w:val="1063"/>
    <w:link w:val="929"/>
    <w:pPr>
      <w:spacing w:line="360" w:lineRule="auto"/>
    </w:pPr>
    <w:rPr>
      <w:rFonts w:ascii="Tahoma" w:hAnsi="Tahoma"/>
      <w:sz w:val="24"/>
      <w:szCs w:val="24"/>
    </w:rPr>
  </w:style>
  <w:style w:type="paragraph" w:styleId="1064">
    <w:name w:val="并列样式"/>
    <w:basedOn w:val="929"/>
    <w:next w:val="929"/>
    <w:link w:val="929"/>
    <w:pPr>
      <w:ind w:left="839" w:hanging="419"/>
      <w:spacing w:before="120" w:after="120" w:line="360" w:lineRule="exact"/>
      <w:tabs>
        <w:tab w:val="left" w:pos="839" w:leader="none"/>
      </w:tabs>
    </w:pPr>
    <w:rPr>
      <w:rFonts w:eastAsia="宋体"/>
      <w:sz w:val="24"/>
    </w:rPr>
  </w:style>
  <w:style w:type="paragraph" w:styleId="1065">
    <w:name w:val="xl57"/>
    <w:basedOn w:val="929"/>
    <w:next w:val="1065"/>
    <w:link w:val="92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6">
    <w:name w:val="xl49"/>
    <w:basedOn w:val="929"/>
    <w:next w:val="1066"/>
    <w:link w:val="929"/>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7">
    <w:name w:val="Char Char Char1 Char Char Char Char"/>
    <w:basedOn w:val="929"/>
    <w:next w:val="1067"/>
    <w:link w:val="929"/>
    <w:pPr>
      <w:jc w:val="left"/>
      <w:spacing w:after="160" w:line="240" w:lineRule="exact"/>
      <w:widowControl/>
    </w:pPr>
    <w:rPr>
      <w:rFonts w:eastAsia="宋体"/>
      <w:sz w:val="24"/>
      <w:szCs w:val="24"/>
    </w:rPr>
  </w:style>
  <w:style w:type="paragraph" w:styleId="1068">
    <w:name w:val="xl61"/>
    <w:basedOn w:val="929"/>
    <w:next w:val="1068"/>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9">
    <w:name w:val="xl58"/>
    <w:basedOn w:val="929"/>
    <w:next w:val="1069"/>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0">
    <w:name w:val="xl56"/>
    <w:basedOn w:val="929"/>
    <w:next w:val="1070"/>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1">
    <w:name w:val="纯文本2"/>
    <w:basedOn w:val="929"/>
    <w:next w:val="1071"/>
    <w:link w:val="929"/>
    <w:qFormat/>
    <w:rPr>
      <w:rFonts w:ascii="宋体" w:hAnsi="Courier New"/>
      <w:sz w:val="28"/>
    </w:rPr>
  </w:style>
  <w:style w:type="paragraph" w:styleId="1072">
    <w:name w:val="font6"/>
    <w:basedOn w:val="929"/>
    <w:next w:val="1072"/>
    <w:link w:val="929"/>
    <w:pPr>
      <w:jc w:val="left"/>
      <w:spacing w:before="100" w:beforeAutospacing="1" w:after="100" w:afterAutospacing="1"/>
      <w:widowControl/>
    </w:pPr>
    <w:rPr>
      <w:rFonts w:hint="eastAsia" w:ascii="宋体" w:hAnsi="宋体" w:eastAsia="宋体" w:cs="Arial Unicode MS"/>
      <w:b/>
      <w:bCs/>
      <w:sz w:val="18"/>
      <w:szCs w:val="18"/>
    </w:rPr>
  </w:style>
  <w:style w:type="paragraph" w:styleId="1073">
    <w:name w:val="正文 A"/>
    <w:next w:val="1073"/>
    <w:link w:val="929"/>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74">
    <w:name w:val="xl50"/>
    <w:basedOn w:val="929"/>
    <w:next w:val="1074"/>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5">
    <w:name w:val="000左齐平"/>
    <w:basedOn w:val="929"/>
    <w:next w:val="1075"/>
    <w:link w:val="929"/>
    <w:qFormat/>
    <w:pPr>
      <w:ind w:firstLine="0"/>
      <w:jc w:val="left"/>
    </w:pPr>
    <w:rPr>
      <w:color w:val="000000"/>
    </w:rPr>
  </w:style>
  <w:style w:type="paragraph" w:styleId="1076">
    <w:name w:val="列出段落"/>
    <w:basedOn w:val="929"/>
    <w:next w:val="1076"/>
    <w:link w:val="929"/>
    <w:qFormat/>
    <w:pPr>
      <w:ind w:firstLine="420"/>
    </w:pPr>
  </w:style>
  <w:style w:type="paragraph" w:styleId="1077">
    <w:name w:val="xl55"/>
    <w:basedOn w:val="929"/>
    <w:next w:val="1077"/>
    <w:link w:val="9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Char Char1 Char Char Char Char Char Char Char"/>
    <w:basedOn w:val="929"/>
    <w:next w:val="1078"/>
    <w:link w:val="929"/>
  </w:style>
  <w:style w:type="paragraph" w:styleId="1079">
    <w:name w:val="Char Char1 Char Char Char Char Char Char Char Char Char Char Char Char Char Char Char Char"/>
    <w:basedOn w:val="929"/>
    <w:next w:val="1079"/>
    <w:link w:val="929"/>
    <w:pPr>
      <w:jc w:val="left"/>
      <w:spacing w:after="160" w:line="240" w:lineRule="exact"/>
      <w:widowControl/>
    </w:pPr>
    <w:rPr>
      <w:rFonts w:ascii="Verdana" w:hAnsi="Verdana" w:eastAsia="宋体"/>
      <w:sz w:val="20"/>
      <w:lang w:eastAsia="en-US"/>
    </w:rPr>
  </w:style>
  <w:style w:type="paragraph" w:styleId="1080">
    <w:name w:val="font5"/>
    <w:basedOn w:val="929"/>
    <w:next w:val="1080"/>
    <w:link w:val="929"/>
    <w:pPr>
      <w:jc w:val="left"/>
      <w:spacing w:before="100" w:beforeAutospacing="1" w:after="100" w:afterAutospacing="1"/>
      <w:widowControl/>
    </w:pPr>
    <w:rPr>
      <w:rFonts w:hint="eastAsia" w:ascii="宋体" w:hAnsi="宋体" w:eastAsia="宋体"/>
      <w:sz w:val="18"/>
      <w:szCs w:val="18"/>
    </w:rPr>
  </w:style>
  <w:style w:type="paragraph" w:styleId="1081">
    <w:name w:val="小四 段落 宋体 Char"/>
    <w:basedOn w:val="952"/>
    <w:next w:val="1081"/>
    <w:link w:val="929"/>
    <w:pPr>
      <w:ind w:left="0" w:right="-33" w:firstLine="480"/>
      <w:jc w:val="left"/>
      <w:spacing w:line="360" w:lineRule="auto"/>
      <w:tabs>
        <w:tab w:val="clear" w:pos="1125" w:leader="none"/>
      </w:tabs>
    </w:pPr>
    <w:rPr>
      <w:sz w:val="24"/>
    </w:rPr>
  </w:style>
  <w:style w:type="paragraph" w:styleId="1082">
    <w:name w:val="xl52"/>
    <w:basedOn w:val="929"/>
    <w:next w:val="1082"/>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3">
    <w:name w:val="Default"/>
    <w:next w:val="1083"/>
    <w:link w:val="929"/>
    <w:qFormat/>
    <w:pPr>
      <w:widowControl w:val="off"/>
    </w:pPr>
    <w:rPr>
      <w:rFonts w:ascii="宋体" w:hAnsi="Calibri" w:cs="宋体"/>
      <w:color w:val="000000"/>
      <w:sz w:val="24"/>
      <w:szCs w:val="24"/>
      <w:lang w:val="en-US" w:eastAsia="zh-CN" w:bidi="ar-SA"/>
    </w:rPr>
  </w:style>
  <w:style w:type="paragraph" w:styleId="1084">
    <w:name w:val="xl47"/>
    <w:basedOn w:val="929"/>
    <w:next w:val="1084"/>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5">
    <w:name w:val="xl66"/>
    <w:basedOn w:val="929"/>
    <w:next w:val="1085"/>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6">
    <w:name w:val="_Style 1"/>
    <w:basedOn w:val="929"/>
    <w:next w:val="1086"/>
    <w:link w:val="929"/>
    <w:uiPriority w:val="34"/>
    <w:qFormat/>
    <w:pPr>
      <w:ind w:firstLine="420"/>
    </w:pPr>
    <w:rPr>
      <w:rFonts w:ascii="Calibri" w:hAnsi="Calibri"/>
      <w:szCs w:val="22"/>
    </w:rPr>
  </w:style>
  <w:style w:type="paragraph" w:styleId="1087">
    <w:name w:val="正文样式"/>
    <w:basedOn w:val="929"/>
    <w:next w:val="1087"/>
    <w:link w:val="929"/>
    <w:qFormat/>
    <w:pPr>
      <w:ind w:firstLine="584"/>
    </w:pPr>
    <w:rPr>
      <w:rFonts w:ascii="仿宋_GB2312" w:eastAsia="仿宋_GB2312"/>
      <w:spacing w:val="-4"/>
      <w:sz w:val="30"/>
      <w:szCs w:val="30"/>
    </w:rPr>
  </w:style>
  <w:style w:type="paragraph" w:styleId="1088">
    <w:name w:val="Char Char Char"/>
    <w:basedOn w:val="929"/>
    <w:next w:val="1088"/>
    <w:link w:val="929"/>
    <w:rPr>
      <w:rFonts w:ascii="Tahoma" w:hAnsi="Tahoma" w:eastAsia="宋体"/>
      <w:sz w:val="24"/>
    </w:rPr>
  </w:style>
  <w:style w:type="paragraph" w:styleId="1089">
    <w:name w:val="xl64"/>
    <w:basedOn w:val="929"/>
    <w:next w:val="1089"/>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0">
    <w:name w:val="Char"/>
    <w:basedOn w:val="929"/>
    <w:next w:val="1090"/>
    <w:link w:val="929"/>
    <w:rPr>
      <w:rFonts w:ascii="Tahoma" w:hAnsi="Tahoma" w:eastAsia="宋体"/>
      <w:sz w:val="24"/>
    </w:rPr>
  </w:style>
  <w:style w:type="paragraph" w:styleId="1091">
    <w:name w:val="p0"/>
    <w:basedOn w:val="929"/>
    <w:next w:val="1091"/>
    <w:link w:val="929"/>
    <w:qFormat/>
    <w:rPr>
      <w:rFonts w:hint="eastAsia"/>
    </w:rPr>
  </w:style>
  <w:style w:type="paragraph" w:styleId="1092">
    <w:name w:val="xl45"/>
    <w:basedOn w:val="929"/>
    <w:next w:val="1092"/>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3">
    <w:name w:val="首行缩进"/>
    <w:basedOn w:val="929"/>
    <w:next w:val="1093"/>
    <w:link w:val="929"/>
    <w:qFormat/>
    <w:pPr>
      <w:ind w:firstLine="480"/>
    </w:pPr>
    <w:rPr>
      <w:rFonts w:ascii="Times New Roman" w:hAnsi="Times New Roman"/>
      <w:szCs w:val="20"/>
      <w:lang w:val="zh-CN"/>
    </w:rPr>
  </w:style>
  <w:style w:type="paragraph" w:styleId="1094">
    <w:name w:val="纯文本11"/>
    <w:basedOn w:val="929"/>
    <w:next w:val="1094"/>
    <w:link w:val="929"/>
    <w:uiPriority w:val="99"/>
    <w:qFormat/>
    <w:rPr>
      <w:rFonts w:ascii="宋体" w:hAnsi="Courier New" w:eastAsia="宋体"/>
      <w:sz w:val="21"/>
      <w:szCs w:val="22"/>
    </w:rPr>
  </w:style>
  <w:style w:type="paragraph" w:styleId="1095">
    <w:name w:val="List Paragraph"/>
    <w:basedOn w:val="929"/>
    <w:next w:val="1095"/>
    <w:link w:val="929"/>
    <w:qFormat/>
    <w:pPr>
      <w:ind w:firstLine="420"/>
    </w:pPr>
  </w:style>
  <w:style w:type="paragraph" w:styleId="1096">
    <w:name w:val="Plain Text"/>
    <w:basedOn w:val="929"/>
    <w:next w:val="1096"/>
    <w:link w:val="929"/>
    <w:rPr>
      <w:rFonts w:ascii="宋体" w:hAnsi="Courier New"/>
      <w:sz w:val="28"/>
    </w:rPr>
  </w:style>
  <w:style w:type="paragraph" w:styleId="1097">
    <w:name w:val="xl53"/>
    <w:basedOn w:val="929"/>
    <w:next w:val="109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xl60"/>
    <w:basedOn w:val="929"/>
    <w:next w:val="1098"/>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name w:val="+正文"/>
    <w:basedOn w:val="929"/>
    <w:next w:val="1099"/>
    <w:link w:val="929"/>
    <w:pPr>
      <w:ind w:firstLine="200"/>
      <w:spacing w:line="360" w:lineRule="auto"/>
    </w:pPr>
    <w:rPr>
      <w:rFonts w:eastAsia="宋体"/>
      <w:sz w:val="24"/>
      <w:szCs w:val="28"/>
    </w:rPr>
  </w:style>
  <w:style w:type="paragraph" w:styleId="1100">
    <w:name w:val="xl65"/>
    <w:basedOn w:val="929"/>
    <w:next w:val="1100"/>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1">
    <w:name w:val="纯文本4"/>
    <w:basedOn w:val="929"/>
    <w:next w:val="1101"/>
    <w:link w:val="929"/>
    <w:qFormat/>
    <w:rPr>
      <w:rFonts w:ascii="宋体" w:hAnsi="Courier New" w:eastAsia="楷体_GB2312"/>
      <w:sz w:val="26"/>
      <w:szCs w:val="20"/>
    </w:rPr>
  </w:style>
  <w:style w:type="paragraph" w:styleId="1102">
    <w:name w:val="Blockquote"/>
    <w:basedOn w:val="929"/>
    <w:next w:val="1102"/>
    <w:link w:val="929"/>
    <w:qFormat/>
    <w:pPr>
      <w:ind w:left="360" w:right="360"/>
      <w:jc w:val="left"/>
      <w:spacing w:before="100" w:after="100"/>
    </w:pPr>
    <w:rPr>
      <w:sz w:val="24"/>
    </w:rPr>
  </w:style>
  <w:style w:type="paragraph" w:styleId="1103">
    <w:name w:val="列出段落2"/>
    <w:basedOn w:val="929"/>
    <w:next w:val="1103"/>
    <w:link w:val="929"/>
    <w:uiPriority w:val="34"/>
    <w:qFormat/>
    <w:pPr>
      <w:ind w:firstLine="420"/>
    </w:pPr>
    <w:rPr>
      <w:rFonts w:ascii="宋体" w:hAnsi="宋体"/>
      <w:sz w:val="24"/>
      <w:szCs w:val="24"/>
    </w:rPr>
  </w:style>
  <w:style w:type="paragraph" w:styleId="1104">
    <w:name w:val="批注框文本1"/>
    <w:basedOn w:val="929"/>
    <w:next w:val="1104"/>
    <w:link w:val="929"/>
    <w:uiPriority w:val="1668"/>
    <w:semiHidden/>
    <w:qFormat/>
    <w:rPr>
      <w:sz w:val="18"/>
      <w:szCs w:val="18"/>
    </w:rPr>
  </w:style>
  <w:style w:type="paragraph" w:styleId="1105">
    <w:name w:val="默认段落字体 Para Char Char Char Char Char Char Char"/>
    <w:basedOn w:val="929"/>
    <w:next w:val="1105"/>
    <w:link w:val="929"/>
    <w:pPr>
      <w:spacing w:line="360" w:lineRule="auto"/>
    </w:pPr>
    <w:rPr>
      <w:rFonts w:ascii="Tahoma" w:hAnsi="Tahoma" w:eastAsia="宋体"/>
      <w:sz w:val="24"/>
    </w:rPr>
  </w:style>
  <w:style w:type="paragraph" w:styleId="1106">
    <w:name w:val="xl46"/>
    <w:basedOn w:val="929"/>
    <w:next w:val="1106"/>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xl54"/>
    <w:basedOn w:val="929"/>
    <w:next w:val="1107"/>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8">
    <w:name w:val="修订"/>
    <w:next w:val="1108"/>
    <w:link w:val="929"/>
    <w:uiPriority w:val="99"/>
    <w:unhideWhenUsed/>
    <w:rPr>
      <w:rFonts w:eastAsia="楷体_GB2312"/>
      <w:sz w:val="26"/>
      <w:lang w:val="en-US" w:eastAsia="zh-CN" w:bidi="ar-SA"/>
    </w:rPr>
  </w:style>
  <w:style w:type="paragraph" w:styleId="1109">
    <w:name w:val="xl48"/>
    <w:basedOn w:val="929"/>
    <w:next w:val="1109"/>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10">
    <w:name w:val="段"/>
    <w:next w:val="929"/>
    <w:link w:val="929"/>
    <w:uiPriority w:val="99"/>
    <w:pPr>
      <w:ind w:firstLine="200"/>
      <w:jc w:val="both"/>
      <w:spacing w:line="360" w:lineRule="auto"/>
    </w:pPr>
    <w:rPr>
      <w:rFonts w:ascii="宋体" w:hAnsi="Calibri"/>
      <w:sz w:val="24"/>
      <w:szCs w:val="22"/>
      <w:lang w:val="en-US" w:eastAsia="zh-CN" w:bidi="ar-SA"/>
    </w:rPr>
  </w:style>
  <w:style w:type="paragraph" w:styleId="1111">
    <w:name w:val="msolistparagraph"/>
    <w:basedOn w:val="929"/>
    <w:next w:val="1111"/>
    <w:link w:val="929"/>
    <w:qFormat/>
    <w:pPr>
      <w:ind w:firstLine="420"/>
    </w:pPr>
    <w:rPr>
      <w:szCs w:val="21"/>
    </w:rPr>
  </w:style>
  <w:style w:type="paragraph" w:styleId="1112">
    <w:name w:val="分标题"/>
    <w:basedOn w:val="929"/>
    <w:next w:val="953"/>
    <w:link w:val="929"/>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113">
    <w:name w:val="xl62"/>
    <w:basedOn w:val="929"/>
    <w:next w:val="1113"/>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4">
    <w:name w:val="Char Char Char Char Char Char Char"/>
    <w:basedOn w:val="929"/>
    <w:next w:val="1114"/>
    <w:link w:val="929"/>
    <w:pPr>
      <w:ind w:left="432" w:hanging="432"/>
      <w:tabs>
        <w:tab w:val="left" w:pos="432" w:leader="none"/>
      </w:tabs>
    </w:pPr>
    <w:rPr>
      <w:rFonts w:ascii="Tahoma" w:hAnsi="Tahoma" w:eastAsia="宋体"/>
      <w:sz w:val="24"/>
    </w:rPr>
  </w:style>
  <w:style w:type="paragraph" w:styleId="1115">
    <w:name w:val="Andy_正文"/>
    <w:basedOn w:val="929"/>
    <w:next w:val="1115"/>
    <w:link w:val="929"/>
    <w:qFormat/>
    <w:pPr>
      <w:ind w:firstLine="480"/>
      <w:spacing w:line="360" w:lineRule="auto"/>
    </w:pPr>
    <w:rPr>
      <w:rFonts w:ascii="Calibri" w:hAnsi="Calibri" w:eastAsia="宋体"/>
      <w:sz w:val="24"/>
      <w:szCs w:val="24"/>
    </w:rPr>
  </w:style>
  <w:style w:type="paragraph" w:styleId="1116">
    <w:name w:val="_Style 12"/>
    <w:basedOn w:val="956"/>
    <w:next w:val="1116"/>
    <w:link w:val="929"/>
    <w:pPr>
      <w:jc w:val="left"/>
      <w:spacing w:line="360" w:lineRule="auto"/>
      <w:widowControl/>
    </w:pPr>
    <w:rPr>
      <w:sz w:val="24"/>
    </w:rPr>
  </w:style>
  <w:style w:type="paragraph" w:styleId="1117">
    <w:name w:val="xl63"/>
    <w:basedOn w:val="929"/>
    <w:next w:val="1117"/>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8">
    <w:name w:val="分层标题"/>
    <w:basedOn w:val="929"/>
    <w:next w:val="953"/>
    <w:link w:val="929"/>
    <w:pPr>
      <w:ind w:left="709" w:hanging="709"/>
      <w:spacing w:before="120" w:after="120" w:line="360" w:lineRule="exact"/>
      <w:tabs>
        <w:tab w:val="left" w:pos="1080" w:leader="none"/>
      </w:tabs>
      <w:outlineLvl w:val="4"/>
    </w:pPr>
    <w:rPr>
      <w:rFonts w:eastAsia="宋体"/>
      <w:b/>
      <w:sz w:val="24"/>
      <w:szCs w:val="24"/>
    </w:rPr>
  </w:style>
  <w:style w:type="paragraph" w:styleId="1119">
    <w:name w:val="纯文本3"/>
    <w:basedOn w:val="929"/>
    <w:next w:val="1119"/>
    <w:link w:val="929"/>
    <w:qFormat/>
    <w:pPr>
      <w:jc w:val="both"/>
      <w:widowControl w:val="off"/>
    </w:pPr>
    <w:rPr>
      <w:rFonts w:ascii="宋体" w:hAnsi="Courier New"/>
      <w:sz w:val="21"/>
    </w:rPr>
  </w:style>
  <w:style w:type="paragraph" w:styleId="1120">
    <w:name w:val="正文1"/>
    <w:next w:val="929"/>
    <w:link w:val="929"/>
    <w:qFormat/>
    <w:pPr>
      <w:jc w:val="both"/>
      <w:spacing w:line="360" w:lineRule="atLeast"/>
      <w:widowControl w:val="off"/>
    </w:pPr>
    <w:rPr>
      <w:rFonts w:ascii="Times New Roman" w:hAnsi="Times New Roman" w:eastAsia="宋体" w:cs="Times New Roman"/>
      <w:lang w:val="en-US" w:eastAsia="zh-CN" w:bidi="ar-SA"/>
    </w:rPr>
  </w:style>
  <w:style w:type="paragraph" w:styleId="1121">
    <w:name w:val="正文文本1"/>
    <w:basedOn w:val="929"/>
    <w:next w:val="1121"/>
    <w:link w:val="929"/>
    <w:qFormat/>
    <w:pPr>
      <w:spacing w:line="400" w:lineRule="exact"/>
    </w:pPr>
    <w:rPr>
      <w:rFonts w:ascii="楷体_GB2312"/>
      <w:sz w:val="28"/>
    </w:rPr>
  </w:style>
  <w:style w:type="paragraph" w:styleId="1122">
    <w:name w:val="Heading41"/>
    <w:basedOn w:val="929"/>
    <w:next w:val="1123"/>
    <w:link w:val="929"/>
    <w:qFormat/>
    <w:pPr>
      <w:keepLines/>
      <w:keepNext/>
      <w:spacing w:before="120" w:after="120"/>
    </w:pPr>
    <w:rPr>
      <w:rFonts w:ascii="Cambria" w:hAnsi="Cambria" w:eastAsia="华文细黑"/>
      <w:b/>
      <w:sz w:val="28"/>
    </w:rPr>
  </w:style>
  <w:style w:type="paragraph" w:styleId="1123">
    <w:name w:val="NormalIndent1"/>
    <w:basedOn w:val="929"/>
    <w:next w:val="1123"/>
    <w:link w:val="929"/>
    <w:qFormat/>
    <w:pPr>
      <w:ind w:firstLine="420"/>
    </w:pPr>
  </w:style>
  <w:style w:type="paragraph" w:styleId="1124">
    <w:name w:val="普通(网站)1"/>
    <w:basedOn w:val="929"/>
    <w:next w:val="1124"/>
    <w:link w:val="929"/>
    <w:uiPriority w:val="99"/>
    <w:qFormat/>
    <w:pPr>
      <w:jc w:val="left"/>
      <w:spacing w:before="100" w:beforeAutospacing="1" w:after="100" w:afterAutospacing="1"/>
      <w:widowControl/>
    </w:pPr>
    <w:rPr>
      <w:rFonts w:ascii="宋体" w:hAnsi="宋体" w:eastAsia="宋体" w:cs="宋体"/>
      <w:sz w:val="24"/>
      <w:szCs w:val="24"/>
    </w:rPr>
  </w:style>
  <w:style w:type="paragraph" w:styleId="1125">
    <w:name w:val="Char Char Char Char Char Char Char Char Char Char Char Char Char"/>
    <w:basedOn w:val="929"/>
    <w:next w:val="1125"/>
    <w:link w:val="929"/>
    <w:qFormat/>
    <w:pPr>
      <w:ind w:firstLine="480"/>
      <w:spacing w:line="360" w:lineRule="auto"/>
    </w:pPr>
    <w:rPr>
      <w:rFonts w:hAnsi="宋体" w:eastAsia="宋体"/>
      <w:color w:val="000000"/>
      <w:sz w:val="18"/>
      <w:szCs w:val="18"/>
    </w:rPr>
  </w:style>
  <w:style w:type="paragraph" w:styleId="1126">
    <w:name w:val="正文缩进1"/>
    <w:basedOn w:val="929"/>
    <w:next w:val="1126"/>
    <w:link w:val="929"/>
    <w:qFormat/>
    <w:pPr>
      <w:ind w:firstLine="420"/>
      <w:jc w:val="left"/>
    </w:pPr>
    <w:rPr>
      <w:sz w:val="24"/>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2023-04-14T17:25:00Z</dcterms:created>
  <dcterms:modified xsi:type="dcterms:W3CDTF">2025-12-01T08:00:29Z</dcterms:modified>
</cp:coreProperties>
</file>